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B432A" w14:textId="77777777" w:rsidR="00726913" w:rsidRDefault="00726913" w:rsidP="00726913">
      <w:pPr>
        <w:keepNext/>
        <w:spacing w:before="200"/>
        <w:outlineLvl w:val="1"/>
        <w:rPr>
          <w:rFonts w:eastAsia="Times New Roman" w:cs="Segoe UI"/>
          <w:b/>
          <w:bCs/>
          <w:iCs/>
          <w:color w:val="606060"/>
          <w:sz w:val="24"/>
          <w:szCs w:val="24"/>
        </w:rPr>
      </w:pPr>
      <w:r>
        <w:rPr>
          <w:rFonts w:eastAsia="Segoe UI" w:cs="Segoe UI"/>
          <w:b/>
          <w:bCs/>
          <w:color w:val="004280"/>
          <w:sz w:val="80"/>
          <w:szCs w:val="80"/>
          <w:lang w:val="en-US"/>
        </w:rPr>
        <w:t>Proposal Summary</w:t>
      </w:r>
    </w:p>
    <w:tbl>
      <w:tblPr>
        <w:tblStyle w:val="TableGrid"/>
        <w:tblW w:w="9185" w:type="dxa"/>
        <w:tblInd w:w="137" w:type="dxa"/>
        <w:tblLook w:val="04A0" w:firstRow="1" w:lastRow="0" w:firstColumn="1" w:lastColumn="0" w:noHBand="0" w:noVBand="1"/>
      </w:tblPr>
      <w:tblGrid>
        <w:gridCol w:w="2276"/>
        <w:gridCol w:w="1640"/>
        <w:gridCol w:w="636"/>
        <w:gridCol w:w="2276"/>
        <w:gridCol w:w="2357"/>
      </w:tblGrid>
      <w:tr w:rsidR="005A2A4E" w:rsidRPr="00B006DA" w14:paraId="214AE38A" w14:textId="77777777" w:rsidTr="006A4F50">
        <w:tc>
          <w:tcPr>
            <w:tcW w:w="3916" w:type="dxa"/>
            <w:gridSpan w:val="2"/>
          </w:tcPr>
          <w:p w14:paraId="01FC7D73" w14:textId="77777777" w:rsidR="00A160C1" w:rsidRPr="001B101D" w:rsidRDefault="00A160C1" w:rsidP="00726913">
            <w:pPr>
              <w:spacing w:line="276" w:lineRule="auto"/>
              <w:rPr>
                <w:rFonts w:cs="Segoe UI"/>
                <w:b/>
              </w:rPr>
            </w:pPr>
            <w:r w:rsidRPr="001B101D">
              <w:rPr>
                <w:rFonts w:cs="Segoe UI"/>
                <w:b/>
              </w:rPr>
              <w:t xml:space="preserve">Applicant </w:t>
            </w:r>
          </w:p>
        </w:tc>
        <w:tc>
          <w:tcPr>
            <w:tcW w:w="5269" w:type="dxa"/>
            <w:gridSpan w:val="3"/>
          </w:tcPr>
          <w:p w14:paraId="4E655A6D" w14:textId="685DFEC6" w:rsidR="00A160C1" w:rsidRPr="00B006DA" w:rsidRDefault="00F847F5" w:rsidP="00B835B2">
            <w:pPr>
              <w:spacing w:line="276" w:lineRule="auto"/>
              <w:jc w:val="both"/>
              <w:rPr>
                <w:rFonts w:cs="Segoe UI"/>
              </w:rPr>
            </w:pPr>
            <w:r>
              <w:rPr>
                <w:rFonts w:cs="Segoe UI"/>
              </w:rPr>
              <w:t xml:space="preserve">Rachel Hulks </w:t>
            </w:r>
          </w:p>
        </w:tc>
      </w:tr>
      <w:tr w:rsidR="00202206" w:rsidRPr="00B006DA" w14:paraId="26DCE4E7" w14:textId="77777777" w:rsidTr="00202206">
        <w:trPr>
          <w:trHeight w:val="376"/>
        </w:trPr>
        <w:tc>
          <w:tcPr>
            <w:tcW w:w="3916" w:type="dxa"/>
            <w:gridSpan w:val="2"/>
            <w:vMerge w:val="restart"/>
          </w:tcPr>
          <w:p w14:paraId="5107EABE" w14:textId="77777777" w:rsidR="00202206" w:rsidRPr="001B101D" w:rsidRDefault="00202206" w:rsidP="00726913">
            <w:pPr>
              <w:spacing w:line="276" w:lineRule="auto"/>
              <w:rPr>
                <w:rFonts w:cs="Segoe UI"/>
                <w:b/>
              </w:rPr>
            </w:pPr>
            <w:r w:rsidRPr="001B101D">
              <w:rPr>
                <w:rFonts w:cs="Segoe UI"/>
                <w:b/>
              </w:rPr>
              <w:t>Owner</w:t>
            </w:r>
          </w:p>
        </w:tc>
        <w:tc>
          <w:tcPr>
            <w:tcW w:w="5269" w:type="dxa"/>
            <w:gridSpan w:val="3"/>
            <w:vAlign w:val="center"/>
          </w:tcPr>
          <w:p w14:paraId="170E94BA" w14:textId="77777777" w:rsidR="00202206" w:rsidRDefault="00202206" w:rsidP="00202206">
            <w:pPr>
              <w:spacing w:before="30" w:afterLines="30" w:after="72"/>
              <w:ind w:left="2126" w:hanging="2127"/>
              <w:jc w:val="both"/>
              <w:rPr>
                <w:rFonts w:cs="Segoe UI"/>
              </w:rPr>
            </w:pPr>
            <w:r>
              <w:rPr>
                <w:rFonts w:cs="Segoe UI"/>
              </w:rPr>
              <w:t xml:space="preserve">Bonython Nominees Pty Ltd - 231 Pacific Highway, </w:t>
            </w:r>
          </w:p>
          <w:p w14:paraId="37C54B0C" w14:textId="2CA6D38D" w:rsidR="00202206" w:rsidRPr="00B006DA" w:rsidRDefault="00202206" w:rsidP="00202206">
            <w:pPr>
              <w:spacing w:before="30" w:afterLines="30" w:after="72"/>
              <w:ind w:left="2126" w:hanging="2127"/>
              <w:jc w:val="both"/>
              <w:rPr>
                <w:rFonts w:cs="Segoe UI"/>
              </w:rPr>
            </w:pPr>
            <w:r>
              <w:rPr>
                <w:rFonts w:cs="Segoe UI"/>
              </w:rPr>
              <w:t>Mount White</w:t>
            </w:r>
          </w:p>
        </w:tc>
      </w:tr>
      <w:tr w:rsidR="00202206" w:rsidRPr="00B006DA" w14:paraId="1FC6C8AF" w14:textId="77777777" w:rsidTr="006A4F50">
        <w:trPr>
          <w:trHeight w:val="376"/>
        </w:trPr>
        <w:tc>
          <w:tcPr>
            <w:tcW w:w="3916" w:type="dxa"/>
            <w:gridSpan w:val="2"/>
            <w:vMerge/>
          </w:tcPr>
          <w:p w14:paraId="6FEF442D" w14:textId="77777777" w:rsidR="00202206" w:rsidRPr="001B101D" w:rsidRDefault="00202206" w:rsidP="00726913">
            <w:pPr>
              <w:spacing w:line="276" w:lineRule="auto"/>
              <w:rPr>
                <w:rFonts w:cs="Segoe UI"/>
                <w:b/>
              </w:rPr>
            </w:pPr>
          </w:p>
        </w:tc>
        <w:tc>
          <w:tcPr>
            <w:tcW w:w="5269" w:type="dxa"/>
            <w:gridSpan w:val="3"/>
            <w:vAlign w:val="center"/>
          </w:tcPr>
          <w:p w14:paraId="49175939" w14:textId="2FA7EAC2" w:rsidR="00202206" w:rsidRDefault="00202206" w:rsidP="005A2A4E">
            <w:pPr>
              <w:spacing w:before="30" w:afterLines="30" w:after="72"/>
              <w:ind w:left="2126" w:hanging="2127"/>
              <w:rPr>
                <w:rFonts w:cs="Segoe UI"/>
              </w:rPr>
            </w:pPr>
            <w:proofErr w:type="spellStart"/>
            <w:r>
              <w:rPr>
                <w:rFonts w:cs="Segoe UI"/>
              </w:rPr>
              <w:t>Ognis</w:t>
            </w:r>
            <w:proofErr w:type="spellEnd"/>
            <w:r>
              <w:rPr>
                <w:rFonts w:cs="Segoe UI"/>
              </w:rPr>
              <w:t xml:space="preserve"> Pty Ltd - 20 </w:t>
            </w:r>
            <w:proofErr w:type="spellStart"/>
            <w:r>
              <w:rPr>
                <w:rFonts w:cs="Segoe UI"/>
              </w:rPr>
              <w:t>Ashbrookes</w:t>
            </w:r>
            <w:proofErr w:type="spellEnd"/>
            <w:r>
              <w:rPr>
                <w:rFonts w:cs="Segoe UI"/>
              </w:rPr>
              <w:t xml:space="preserve"> Road, Mount White</w:t>
            </w:r>
          </w:p>
        </w:tc>
      </w:tr>
      <w:tr w:rsidR="005A2A4E" w:rsidRPr="00B006DA" w14:paraId="6B654CC9" w14:textId="77777777" w:rsidTr="006A4F50">
        <w:tc>
          <w:tcPr>
            <w:tcW w:w="3916" w:type="dxa"/>
            <w:gridSpan w:val="2"/>
          </w:tcPr>
          <w:p w14:paraId="034627B8" w14:textId="77777777" w:rsidR="00A160C1" w:rsidRPr="001B101D" w:rsidRDefault="00A160C1" w:rsidP="00726913">
            <w:pPr>
              <w:spacing w:line="276" w:lineRule="auto"/>
              <w:rPr>
                <w:rFonts w:cs="Segoe UI"/>
                <w:b/>
              </w:rPr>
            </w:pPr>
            <w:r w:rsidRPr="001B101D">
              <w:rPr>
                <w:rFonts w:cs="Segoe UI"/>
                <w:b/>
              </w:rPr>
              <w:t>Application Number</w:t>
            </w:r>
          </w:p>
        </w:tc>
        <w:tc>
          <w:tcPr>
            <w:tcW w:w="5269" w:type="dxa"/>
            <w:gridSpan w:val="3"/>
          </w:tcPr>
          <w:p w14:paraId="356E815B" w14:textId="2A270681" w:rsidR="00A160C1" w:rsidRPr="00B006DA" w:rsidRDefault="00934543" w:rsidP="00B835B2">
            <w:pPr>
              <w:spacing w:line="276" w:lineRule="auto"/>
              <w:jc w:val="both"/>
              <w:rPr>
                <w:rFonts w:cs="Segoe UI"/>
              </w:rPr>
            </w:pPr>
            <w:r>
              <w:rPr>
                <w:rFonts w:cs="Segoe UI"/>
              </w:rPr>
              <w:t>PP-2022-1136</w:t>
            </w:r>
            <w:r w:rsidR="00543FB2">
              <w:rPr>
                <w:rFonts w:cs="Segoe UI"/>
              </w:rPr>
              <w:t xml:space="preserve">, RZ/2/2022 </w:t>
            </w:r>
          </w:p>
        </w:tc>
      </w:tr>
      <w:tr w:rsidR="005A2A4E" w:rsidRPr="00B006DA" w14:paraId="1E1C05EE" w14:textId="77777777" w:rsidTr="006A4F50">
        <w:tc>
          <w:tcPr>
            <w:tcW w:w="3916" w:type="dxa"/>
            <w:gridSpan w:val="2"/>
          </w:tcPr>
          <w:p w14:paraId="283FABDD" w14:textId="77777777" w:rsidR="00A160C1" w:rsidRPr="001B101D" w:rsidRDefault="00A160C1" w:rsidP="00726913">
            <w:pPr>
              <w:spacing w:line="276" w:lineRule="auto"/>
              <w:rPr>
                <w:rFonts w:cs="Segoe UI"/>
                <w:b/>
              </w:rPr>
            </w:pPr>
            <w:r w:rsidRPr="001B101D">
              <w:rPr>
                <w:rFonts w:cs="Segoe UI"/>
                <w:b/>
              </w:rPr>
              <w:t>Description of Land subject of planning proposal</w:t>
            </w:r>
          </w:p>
        </w:tc>
        <w:tc>
          <w:tcPr>
            <w:tcW w:w="5269" w:type="dxa"/>
            <w:gridSpan w:val="3"/>
          </w:tcPr>
          <w:p w14:paraId="2DB1060B" w14:textId="49D99650" w:rsidR="005A2A4E" w:rsidRDefault="005A2A4E" w:rsidP="005A2A4E">
            <w:pPr>
              <w:rPr>
                <w:rFonts w:cs="Segoe UI"/>
                <w:i/>
                <w:lang w:val="en-US"/>
              </w:rPr>
            </w:pPr>
            <w:r w:rsidRPr="005A2A4E">
              <w:rPr>
                <w:rFonts w:cs="Segoe UI"/>
                <w:i/>
                <w:lang w:val="en-US"/>
              </w:rPr>
              <w:t>Property Description:</w:t>
            </w:r>
            <w:r w:rsidR="00934543">
              <w:rPr>
                <w:rFonts w:cs="Segoe UI"/>
                <w:i/>
                <w:lang w:val="en-US"/>
              </w:rPr>
              <w:t xml:space="preserve"> </w:t>
            </w:r>
          </w:p>
          <w:p w14:paraId="3F2B9F17" w14:textId="2F2A9F36" w:rsidR="00D711F3" w:rsidRDefault="00F60931" w:rsidP="005A2A4E">
            <w:pPr>
              <w:rPr>
                <w:bCs/>
                <w:i/>
                <w:iCs/>
              </w:rPr>
            </w:pPr>
            <w:r>
              <w:rPr>
                <w:bCs/>
                <w:i/>
                <w:iCs/>
              </w:rPr>
              <w:t xml:space="preserve">231 Pacific Highway, Mount White </w:t>
            </w:r>
          </w:p>
          <w:p w14:paraId="112AAFE4" w14:textId="7F9963C8" w:rsidR="00F60931" w:rsidRPr="00423A2D" w:rsidRDefault="00F60931" w:rsidP="005A2A4E">
            <w:pPr>
              <w:rPr>
                <w:rFonts w:cs="Segoe UI"/>
                <w:iCs/>
                <w:lang w:val="en-US"/>
              </w:rPr>
            </w:pPr>
            <w:r>
              <w:rPr>
                <w:bCs/>
                <w:i/>
                <w:iCs/>
              </w:rPr>
              <w:t xml:space="preserve">20 </w:t>
            </w:r>
            <w:proofErr w:type="spellStart"/>
            <w:r>
              <w:rPr>
                <w:bCs/>
                <w:i/>
                <w:iCs/>
              </w:rPr>
              <w:t>Ashbrookes</w:t>
            </w:r>
            <w:proofErr w:type="spellEnd"/>
            <w:r>
              <w:rPr>
                <w:bCs/>
                <w:i/>
                <w:iCs/>
              </w:rPr>
              <w:t xml:space="preserve"> Road, Mount White</w:t>
            </w:r>
          </w:p>
          <w:p w14:paraId="1AD16700" w14:textId="77777777" w:rsidR="005A2A4E" w:rsidRDefault="005A2A4E" w:rsidP="004C007F">
            <w:pPr>
              <w:spacing w:line="276" w:lineRule="auto"/>
              <w:jc w:val="both"/>
              <w:rPr>
                <w:bCs/>
                <w:i/>
                <w:iCs/>
              </w:rPr>
            </w:pPr>
            <w:r w:rsidRPr="005A2A4E">
              <w:rPr>
                <w:bCs/>
                <w:i/>
                <w:iCs/>
              </w:rPr>
              <w:t>Legal Description:</w:t>
            </w:r>
          </w:p>
          <w:p w14:paraId="7B4195C8" w14:textId="74F67515" w:rsidR="00D711F3" w:rsidRPr="006A4F50" w:rsidRDefault="00D711F3" w:rsidP="004C007F">
            <w:pPr>
              <w:spacing w:line="276" w:lineRule="auto"/>
              <w:jc w:val="both"/>
              <w:rPr>
                <w:bCs/>
                <w:i/>
                <w:iCs/>
              </w:rPr>
            </w:pPr>
            <w:r>
              <w:rPr>
                <w:bCs/>
                <w:i/>
                <w:iCs/>
              </w:rPr>
              <w:t xml:space="preserve">Lot 1 DP 207158 </w:t>
            </w:r>
            <w:r w:rsidR="00F60931">
              <w:rPr>
                <w:bCs/>
                <w:i/>
                <w:iCs/>
              </w:rPr>
              <w:t xml:space="preserve">&amp; </w:t>
            </w:r>
            <w:r>
              <w:rPr>
                <w:bCs/>
                <w:i/>
                <w:iCs/>
              </w:rPr>
              <w:t xml:space="preserve">Lot 1 DP 547622 </w:t>
            </w:r>
          </w:p>
        </w:tc>
      </w:tr>
      <w:tr w:rsidR="00202206" w:rsidRPr="00B006DA" w14:paraId="023CB0DB" w14:textId="77777777" w:rsidTr="00202206">
        <w:trPr>
          <w:trHeight w:val="350"/>
        </w:trPr>
        <w:tc>
          <w:tcPr>
            <w:tcW w:w="3916" w:type="dxa"/>
            <w:gridSpan w:val="2"/>
            <w:vMerge w:val="restart"/>
          </w:tcPr>
          <w:p w14:paraId="341C4112" w14:textId="77777777" w:rsidR="00202206" w:rsidRPr="001B101D" w:rsidRDefault="00202206" w:rsidP="00726913">
            <w:pPr>
              <w:spacing w:line="276" w:lineRule="auto"/>
              <w:rPr>
                <w:rFonts w:cs="Segoe UI"/>
                <w:b/>
              </w:rPr>
            </w:pPr>
            <w:r w:rsidRPr="001B101D">
              <w:rPr>
                <w:rFonts w:cs="Segoe UI"/>
                <w:b/>
              </w:rPr>
              <w:t>Site Area</w:t>
            </w:r>
          </w:p>
        </w:tc>
        <w:tc>
          <w:tcPr>
            <w:tcW w:w="5269" w:type="dxa"/>
            <w:gridSpan w:val="3"/>
          </w:tcPr>
          <w:p w14:paraId="3AF91F90" w14:textId="24B694E5" w:rsidR="00202206" w:rsidRPr="00B006DA" w:rsidRDefault="00202206" w:rsidP="005A2A4E">
            <w:pPr>
              <w:spacing w:line="276" w:lineRule="auto"/>
              <w:jc w:val="both"/>
              <w:rPr>
                <w:rFonts w:cs="Segoe UI"/>
              </w:rPr>
            </w:pPr>
            <w:r>
              <w:rPr>
                <w:rFonts w:cs="Segoe UI"/>
              </w:rPr>
              <w:t>231 Pacific Highway, Mount White - 3.27 hectares</w:t>
            </w:r>
          </w:p>
        </w:tc>
      </w:tr>
      <w:tr w:rsidR="00202206" w:rsidRPr="00B006DA" w14:paraId="3DA55437" w14:textId="77777777" w:rsidTr="006A4F50">
        <w:trPr>
          <w:trHeight w:val="349"/>
        </w:trPr>
        <w:tc>
          <w:tcPr>
            <w:tcW w:w="3916" w:type="dxa"/>
            <w:gridSpan w:val="2"/>
            <w:vMerge/>
          </w:tcPr>
          <w:p w14:paraId="0F9D18A8" w14:textId="77777777" w:rsidR="00202206" w:rsidRPr="001B101D" w:rsidRDefault="00202206" w:rsidP="00726913">
            <w:pPr>
              <w:spacing w:line="276" w:lineRule="auto"/>
              <w:rPr>
                <w:rFonts w:cs="Segoe UI"/>
                <w:b/>
              </w:rPr>
            </w:pPr>
          </w:p>
        </w:tc>
        <w:tc>
          <w:tcPr>
            <w:tcW w:w="5269" w:type="dxa"/>
            <w:gridSpan w:val="3"/>
          </w:tcPr>
          <w:p w14:paraId="18C7A22D" w14:textId="0B7AE525" w:rsidR="00202206" w:rsidRDefault="00202206" w:rsidP="005A2A4E">
            <w:pPr>
              <w:spacing w:line="276" w:lineRule="auto"/>
              <w:jc w:val="both"/>
              <w:rPr>
                <w:rFonts w:cs="Segoe UI"/>
              </w:rPr>
            </w:pPr>
            <w:r>
              <w:rPr>
                <w:rFonts w:cs="Segoe UI"/>
              </w:rPr>
              <w:t xml:space="preserve">20 </w:t>
            </w:r>
            <w:proofErr w:type="spellStart"/>
            <w:r>
              <w:rPr>
                <w:rFonts w:cs="Segoe UI"/>
              </w:rPr>
              <w:t>Ashbrookes</w:t>
            </w:r>
            <w:proofErr w:type="spellEnd"/>
            <w:r>
              <w:rPr>
                <w:rFonts w:cs="Segoe UI"/>
              </w:rPr>
              <w:t xml:space="preserve"> Road, Mount White - 10.9 hectares</w:t>
            </w:r>
          </w:p>
        </w:tc>
      </w:tr>
      <w:tr w:rsidR="00202206" w:rsidRPr="0033698E" w14:paraId="15B6FF8F" w14:textId="77777777" w:rsidTr="00202206">
        <w:trPr>
          <w:trHeight w:val="194"/>
        </w:trPr>
        <w:tc>
          <w:tcPr>
            <w:tcW w:w="3916" w:type="dxa"/>
            <w:gridSpan w:val="2"/>
            <w:vMerge w:val="restart"/>
          </w:tcPr>
          <w:p w14:paraId="6D59775B" w14:textId="77777777" w:rsidR="00202206" w:rsidRPr="001B101D" w:rsidRDefault="00202206" w:rsidP="00726913">
            <w:pPr>
              <w:spacing w:line="276" w:lineRule="auto"/>
              <w:rPr>
                <w:rFonts w:cs="Segoe UI"/>
                <w:b/>
              </w:rPr>
            </w:pPr>
            <w:r w:rsidRPr="001B101D">
              <w:rPr>
                <w:rFonts w:cs="Segoe UI"/>
                <w:b/>
              </w:rPr>
              <w:t>Existing Use</w:t>
            </w:r>
          </w:p>
        </w:tc>
        <w:tc>
          <w:tcPr>
            <w:tcW w:w="5269" w:type="dxa"/>
            <w:gridSpan w:val="3"/>
          </w:tcPr>
          <w:p w14:paraId="1C44C7F0" w14:textId="2DF6A6D5" w:rsidR="00202206" w:rsidRPr="0033698E" w:rsidRDefault="00202206" w:rsidP="00B835B2">
            <w:pPr>
              <w:spacing w:line="276" w:lineRule="auto"/>
              <w:jc w:val="both"/>
              <w:rPr>
                <w:rFonts w:cs="Segoe UI"/>
              </w:rPr>
            </w:pPr>
            <w:r>
              <w:rPr>
                <w:rFonts w:cs="Segoe UI"/>
              </w:rPr>
              <w:t xml:space="preserve">231 Pacific Highway, Mount White – the site is currently vacant </w:t>
            </w:r>
          </w:p>
        </w:tc>
      </w:tr>
      <w:tr w:rsidR="00202206" w:rsidRPr="0033698E" w14:paraId="615C68F1" w14:textId="77777777" w:rsidTr="006A4F50">
        <w:trPr>
          <w:trHeight w:val="193"/>
        </w:trPr>
        <w:tc>
          <w:tcPr>
            <w:tcW w:w="3916" w:type="dxa"/>
            <w:gridSpan w:val="2"/>
            <w:vMerge/>
          </w:tcPr>
          <w:p w14:paraId="079726B9" w14:textId="77777777" w:rsidR="00202206" w:rsidRPr="001B101D" w:rsidRDefault="00202206" w:rsidP="00726913">
            <w:pPr>
              <w:spacing w:line="276" w:lineRule="auto"/>
              <w:rPr>
                <w:rFonts w:cs="Segoe UI"/>
                <w:b/>
              </w:rPr>
            </w:pPr>
          </w:p>
        </w:tc>
        <w:tc>
          <w:tcPr>
            <w:tcW w:w="5269" w:type="dxa"/>
            <w:gridSpan w:val="3"/>
          </w:tcPr>
          <w:p w14:paraId="4CB54672" w14:textId="4185A5F4" w:rsidR="00202206" w:rsidRPr="0033698E" w:rsidRDefault="00202206" w:rsidP="00B835B2">
            <w:pPr>
              <w:spacing w:line="276" w:lineRule="auto"/>
              <w:jc w:val="both"/>
              <w:rPr>
                <w:rFonts w:cs="Segoe UI"/>
              </w:rPr>
            </w:pPr>
            <w:r>
              <w:rPr>
                <w:rFonts w:cs="Segoe UI"/>
              </w:rPr>
              <w:t xml:space="preserve">20 </w:t>
            </w:r>
            <w:proofErr w:type="spellStart"/>
            <w:r>
              <w:rPr>
                <w:rFonts w:cs="Segoe UI"/>
              </w:rPr>
              <w:t>Ashbrookes</w:t>
            </w:r>
            <w:proofErr w:type="spellEnd"/>
            <w:r>
              <w:rPr>
                <w:rFonts w:cs="Segoe UI"/>
              </w:rPr>
              <w:t xml:space="preserve"> Road, Mount White – Saddles Restaurant operat</w:t>
            </w:r>
            <w:r w:rsidR="00F60931">
              <w:rPr>
                <w:rFonts w:cs="Segoe UI"/>
              </w:rPr>
              <w:t>ing</w:t>
            </w:r>
            <w:r>
              <w:rPr>
                <w:rFonts w:cs="Segoe UI"/>
              </w:rPr>
              <w:t xml:space="preserve"> as ancillary to Saddles Garden Centre</w:t>
            </w:r>
            <w:r w:rsidR="005C3DD1">
              <w:rPr>
                <w:rFonts w:cs="Segoe UI"/>
              </w:rPr>
              <w:t xml:space="preserve"> since 2018</w:t>
            </w:r>
            <w:r>
              <w:rPr>
                <w:rFonts w:cs="Segoe UI"/>
              </w:rPr>
              <w:t xml:space="preserve"> </w:t>
            </w:r>
          </w:p>
        </w:tc>
      </w:tr>
      <w:tr w:rsidR="0033613A" w:rsidRPr="001B101D" w14:paraId="6DFE8AEA" w14:textId="77777777" w:rsidTr="006A4F50">
        <w:tc>
          <w:tcPr>
            <w:tcW w:w="9185" w:type="dxa"/>
            <w:gridSpan w:val="5"/>
            <w:tcBorders>
              <w:bottom w:val="single" w:sz="4" w:space="0" w:color="auto"/>
            </w:tcBorders>
          </w:tcPr>
          <w:p w14:paraId="2876BB5C" w14:textId="614CB03F" w:rsidR="0033613A" w:rsidRPr="001B101D" w:rsidRDefault="005A2A4E" w:rsidP="006A4F50">
            <w:pPr>
              <w:spacing w:line="276" w:lineRule="auto"/>
              <w:rPr>
                <w:rFonts w:cs="Segoe UI"/>
                <w:b/>
                <w:i/>
              </w:rPr>
            </w:pPr>
            <w:r>
              <w:br w:type="page"/>
            </w:r>
            <w:r w:rsidR="0033613A" w:rsidRPr="001B101D">
              <w:rPr>
                <w:rFonts w:cs="Segoe UI"/>
                <w:b/>
              </w:rPr>
              <w:t xml:space="preserve">Proposed Amendments – </w:t>
            </w:r>
            <w:r w:rsidR="00503A82">
              <w:rPr>
                <w:rFonts w:cs="Segoe UI"/>
                <w:b/>
              </w:rPr>
              <w:t xml:space="preserve">Central Coast </w:t>
            </w:r>
            <w:r w:rsidR="0033613A" w:rsidRPr="001B101D">
              <w:rPr>
                <w:rFonts w:cs="Segoe UI"/>
                <w:b/>
              </w:rPr>
              <w:t xml:space="preserve">Local Environmental Plan </w:t>
            </w:r>
            <w:r w:rsidR="00503A82">
              <w:rPr>
                <w:rFonts w:cs="Segoe UI"/>
                <w:b/>
              </w:rPr>
              <w:t>2022</w:t>
            </w:r>
          </w:p>
        </w:tc>
      </w:tr>
      <w:tr w:rsidR="005A2A4E" w:rsidRPr="001B101D" w14:paraId="5AD6F433" w14:textId="77777777" w:rsidTr="006A4F50">
        <w:tc>
          <w:tcPr>
            <w:tcW w:w="2276" w:type="dxa"/>
            <w:tcBorders>
              <w:bottom w:val="single" w:sz="4" w:space="0" w:color="auto"/>
            </w:tcBorders>
            <w:vAlign w:val="center"/>
          </w:tcPr>
          <w:p w14:paraId="592432AF" w14:textId="77777777" w:rsidR="00A160C1" w:rsidRPr="0033613A" w:rsidRDefault="0033613A" w:rsidP="0033613A">
            <w:pPr>
              <w:spacing w:line="276" w:lineRule="auto"/>
              <w:rPr>
                <w:rFonts w:cs="Segoe UI"/>
                <w:b/>
                <w:i/>
              </w:rPr>
            </w:pPr>
            <w:r w:rsidRPr="0033613A">
              <w:rPr>
                <w:rFonts w:cs="Segoe UI"/>
                <w:b/>
                <w:i/>
              </w:rPr>
              <w:t>Provisions</w:t>
            </w:r>
          </w:p>
        </w:tc>
        <w:tc>
          <w:tcPr>
            <w:tcW w:w="2276" w:type="dxa"/>
            <w:gridSpan w:val="2"/>
            <w:tcBorders>
              <w:bottom w:val="single" w:sz="4" w:space="0" w:color="auto"/>
            </w:tcBorders>
            <w:vAlign w:val="center"/>
          </w:tcPr>
          <w:p w14:paraId="5CB95131" w14:textId="77777777" w:rsidR="00A160C1" w:rsidRPr="001B101D" w:rsidRDefault="00A160C1" w:rsidP="00B835B2">
            <w:pPr>
              <w:spacing w:line="276" w:lineRule="auto"/>
              <w:jc w:val="center"/>
              <w:rPr>
                <w:rFonts w:cs="Segoe UI"/>
                <w:b/>
                <w:i/>
              </w:rPr>
            </w:pPr>
            <w:r w:rsidRPr="001B101D">
              <w:rPr>
                <w:rFonts w:cs="Segoe UI"/>
                <w:b/>
                <w:i/>
              </w:rPr>
              <w:t>Existing Provision</w:t>
            </w:r>
          </w:p>
        </w:tc>
        <w:tc>
          <w:tcPr>
            <w:tcW w:w="2276" w:type="dxa"/>
            <w:tcBorders>
              <w:bottom w:val="single" w:sz="4" w:space="0" w:color="auto"/>
            </w:tcBorders>
            <w:vAlign w:val="center"/>
          </w:tcPr>
          <w:p w14:paraId="4C6CBB0A" w14:textId="77777777" w:rsidR="00A160C1" w:rsidRPr="001B101D" w:rsidRDefault="00A160C1" w:rsidP="00B835B2">
            <w:pPr>
              <w:spacing w:line="276" w:lineRule="auto"/>
              <w:jc w:val="center"/>
              <w:rPr>
                <w:rFonts w:cs="Segoe UI"/>
                <w:b/>
                <w:i/>
              </w:rPr>
            </w:pPr>
            <w:r w:rsidRPr="001B101D">
              <w:rPr>
                <w:rFonts w:cs="Segoe UI"/>
                <w:b/>
                <w:i/>
              </w:rPr>
              <w:t>Proposed Amendment</w:t>
            </w:r>
          </w:p>
        </w:tc>
        <w:tc>
          <w:tcPr>
            <w:tcW w:w="2357" w:type="dxa"/>
            <w:tcBorders>
              <w:bottom w:val="single" w:sz="4" w:space="0" w:color="auto"/>
            </w:tcBorders>
            <w:vAlign w:val="center"/>
          </w:tcPr>
          <w:p w14:paraId="02503A3D" w14:textId="77777777" w:rsidR="00A160C1" w:rsidRPr="001B101D" w:rsidRDefault="00A160C1" w:rsidP="00B835B2">
            <w:pPr>
              <w:spacing w:line="276" w:lineRule="auto"/>
              <w:jc w:val="center"/>
              <w:rPr>
                <w:rFonts w:cs="Segoe UI"/>
                <w:b/>
                <w:i/>
              </w:rPr>
            </w:pPr>
            <w:r w:rsidRPr="001B101D">
              <w:rPr>
                <w:rFonts w:cs="Segoe UI"/>
                <w:b/>
                <w:i/>
              </w:rPr>
              <w:t>Outcome (Supported/Not Supported)</w:t>
            </w:r>
          </w:p>
        </w:tc>
      </w:tr>
      <w:tr w:rsidR="005A2A4E" w:rsidRPr="00B006DA" w14:paraId="50325F7F" w14:textId="77777777" w:rsidTr="006A4F50">
        <w:tc>
          <w:tcPr>
            <w:tcW w:w="2276" w:type="dxa"/>
            <w:tcBorders>
              <w:top w:val="single" w:sz="4" w:space="0" w:color="auto"/>
              <w:bottom w:val="single" w:sz="4" w:space="0" w:color="auto"/>
            </w:tcBorders>
            <w:vAlign w:val="center"/>
          </w:tcPr>
          <w:p w14:paraId="1000622D" w14:textId="77777777" w:rsidR="004C007F" w:rsidRPr="001B101D" w:rsidRDefault="000F26A4" w:rsidP="00726913">
            <w:pPr>
              <w:spacing w:line="276" w:lineRule="auto"/>
              <w:rPr>
                <w:rFonts w:cs="Segoe UI"/>
                <w:b/>
                <w:i/>
              </w:rPr>
            </w:pPr>
            <w:r>
              <w:rPr>
                <w:rFonts w:cs="Segoe UI"/>
                <w:b/>
                <w:i/>
              </w:rPr>
              <w:t>Schedule 1- Additional permitted use</w:t>
            </w:r>
          </w:p>
        </w:tc>
        <w:tc>
          <w:tcPr>
            <w:tcW w:w="2276" w:type="dxa"/>
            <w:gridSpan w:val="2"/>
            <w:tcBorders>
              <w:top w:val="single" w:sz="4" w:space="0" w:color="auto"/>
              <w:bottom w:val="single" w:sz="4" w:space="0" w:color="auto"/>
            </w:tcBorders>
            <w:vAlign w:val="center"/>
          </w:tcPr>
          <w:p w14:paraId="79C3121D" w14:textId="47D2ACF9" w:rsidR="004C007F" w:rsidRPr="00DF7727" w:rsidRDefault="00202206" w:rsidP="0033613A">
            <w:pPr>
              <w:spacing w:line="276" w:lineRule="auto"/>
              <w:jc w:val="center"/>
              <w:rPr>
                <w:rFonts w:cs="Segoe UI"/>
                <w:i/>
                <w:iCs/>
              </w:rPr>
            </w:pPr>
            <w:r w:rsidRPr="00DF7727">
              <w:rPr>
                <w:rFonts w:cs="Segoe UI"/>
                <w:i/>
                <w:iCs/>
              </w:rPr>
              <w:t xml:space="preserve">Nil </w:t>
            </w:r>
          </w:p>
        </w:tc>
        <w:tc>
          <w:tcPr>
            <w:tcW w:w="2276" w:type="dxa"/>
            <w:tcBorders>
              <w:top w:val="single" w:sz="4" w:space="0" w:color="auto"/>
              <w:bottom w:val="single" w:sz="4" w:space="0" w:color="auto"/>
            </w:tcBorders>
            <w:vAlign w:val="center"/>
          </w:tcPr>
          <w:p w14:paraId="7D88FF03" w14:textId="77777777" w:rsidR="00823910" w:rsidRPr="00823910" w:rsidRDefault="00823910" w:rsidP="00823910">
            <w:pPr>
              <w:spacing w:line="276" w:lineRule="auto"/>
              <w:rPr>
                <w:rFonts w:cs="Segoe UI"/>
                <w:u w:val="single"/>
              </w:rPr>
            </w:pPr>
            <w:bookmarkStart w:id="0" w:name="_Hlk107991429"/>
            <w:r w:rsidRPr="00823910">
              <w:rPr>
                <w:rFonts w:cs="Segoe UI"/>
                <w:u w:val="single"/>
              </w:rPr>
              <w:t>Lot 1 DP 207158 (231 Pacific Highway, Mount White)</w:t>
            </w:r>
          </w:p>
          <w:p w14:paraId="0BAC0284" w14:textId="037F5CD2" w:rsidR="00823910" w:rsidRPr="00823910" w:rsidRDefault="00823910" w:rsidP="00823910">
            <w:pPr>
              <w:spacing w:line="276" w:lineRule="auto"/>
              <w:rPr>
                <w:rFonts w:cs="Segoe UI"/>
              </w:rPr>
            </w:pPr>
            <w:bookmarkStart w:id="1" w:name="_Hlk107991464"/>
            <w:bookmarkEnd w:id="0"/>
            <w:r w:rsidRPr="00823910">
              <w:rPr>
                <w:rFonts w:cs="Segoe UI"/>
                <w:i/>
                <w:iCs/>
              </w:rPr>
              <w:t>hotel or motel accommodation, restaurant or café</w:t>
            </w:r>
            <w:r w:rsidRPr="00823910">
              <w:rPr>
                <w:rFonts w:cs="Segoe UI"/>
              </w:rPr>
              <w:t xml:space="preserve"> and </w:t>
            </w:r>
            <w:bookmarkStart w:id="2" w:name="_Hlk107991476"/>
            <w:bookmarkEnd w:id="1"/>
            <w:r w:rsidRPr="00823910">
              <w:rPr>
                <w:rFonts w:cs="Segoe UI"/>
                <w:i/>
                <w:iCs/>
              </w:rPr>
              <w:lastRenderedPageBreak/>
              <w:t>small bar</w:t>
            </w:r>
            <w:r w:rsidRPr="00823910">
              <w:rPr>
                <w:rFonts w:cs="Segoe UI"/>
              </w:rPr>
              <w:t>, and to permit a day-spa</w:t>
            </w:r>
            <w:r w:rsidR="000603CD">
              <w:rPr>
                <w:rFonts w:cs="Segoe UI"/>
              </w:rPr>
              <w:t xml:space="preserve"> </w:t>
            </w:r>
            <w:r w:rsidR="000603CD" w:rsidRPr="000603CD">
              <w:rPr>
                <w:rFonts w:cs="Segoe UI"/>
                <w:i/>
                <w:iCs/>
              </w:rPr>
              <w:t>business premises</w:t>
            </w:r>
            <w:r w:rsidR="008C3C84">
              <w:rPr>
                <w:rFonts w:cs="Segoe UI"/>
                <w:i/>
                <w:iCs/>
              </w:rPr>
              <w:t xml:space="preserve"> with </w:t>
            </w:r>
            <w:r w:rsidR="007B10C2">
              <w:rPr>
                <w:rFonts w:cs="Segoe UI"/>
                <w:i/>
                <w:iCs/>
              </w:rPr>
              <w:t xml:space="preserve">maximum </w:t>
            </w:r>
            <w:r w:rsidR="00BB541A">
              <w:rPr>
                <w:rFonts w:cs="Segoe UI"/>
                <w:i/>
                <w:iCs/>
              </w:rPr>
              <w:t xml:space="preserve">floor area </w:t>
            </w:r>
            <w:r w:rsidR="008C3C84">
              <w:rPr>
                <w:rFonts w:cs="Segoe UI"/>
                <w:i/>
                <w:iCs/>
              </w:rPr>
              <w:t>limits</w:t>
            </w:r>
            <w:bookmarkEnd w:id="2"/>
          </w:p>
          <w:p w14:paraId="1B346474" w14:textId="77777777" w:rsidR="00823910" w:rsidRPr="00823910" w:rsidRDefault="00823910" w:rsidP="00823910">
            <w:pPr>
              <w:spacing w:line="276" w:lineRule="auto"/>
              <w:rPr>
                <w:rFonts w:cs="Segoe UI"/>
              </w:rPr>
            </w:pPr>
          </w:p>
          <w:p w14:paraId="43FE8976" w14:textId="77777777" w:rsidR="00823910" w:rsidRPr="00823910" w:rsidRDefault="00823910" w:rsidP="00823910">
            <w:pPr>
              <w:spacing w:line="276" w:lineRule="auto"/>
              <w:rPr>
                <w:rFonts w:cs="Segoe UI"/>
                <w:u w:val="single"/>
              </w:rPr>
            </w:pPr>
            <w:bookmarkStart w:id="3" w:name="_Hlk107991499"/>
            <w:r w:rsidRPr="00823910">
              <w:rPr>
                <w:rFonts w:cs="Segoe UI"/>
                <w:u w:val="single"/>
              </w:rPr>
              <w:t xml:space="preserve">Lot 1 DP547622 (20 </w:t>
            </w:r>
            <w:proofErr w:type="spellStart"/>
            <w:r w:rsidRPr="00823910">
              <w:rPr>
                <w:rFonts w:cs="Segoe UI"/>
                <w:u w:val="single"/>
              </w:rPr>
              <w:t>Ashbrookes</w:t>
            </w:r>
            <w:proofErr w:type="spellEnd"/>
            <w:r w:rsidRPr="00823910">
              <w:rPr>
                <w:rFonts w:cs="Segoe UI"/>
                <w:u w:val="single"/>
              </w:rPr>
              <w:t xml:space="preserve"> Road, Mount White)</w:t>
            </w:r>
          </w:p>
          <w:p w14:paraId="4B9AE476" w14:textId="34E33257" w:rsidR="005A2A4E" w:rsidRPr="006A4F50" w:rsidRDefault="00823910" w:rsidP="00823910">
            <w:pPr>
              <w:spacing w:line="276" w:lineRule="auto"/>
              <w:rPr>
                <w:rFonts w:cs="Segoe UI"/>
              </w:rPr>
            </w:pPr>
            <w:r w:rsidRPr="00823910">
              <w:rPr>
                <w:rFonts w:cs="Segoe UI"/>
                <w:i/>
                <w:iCs/>
              </w:rPr>
              <w:t>restaurant or café</w:t>
            </w:r>
            <w:r w:rsidRPr="00823910">
              <w:rPr>
                <w:rFonts w:cs="Segoe UI"/>
              </w:rPr>
              <w:t>, which effectively recognises the existing restaurant/ café/ balcony areas on the site.</w:t>
            </w:r>
            <w:bookmarkEnd w:id="3"/>
          </w:p>
        </w:tc>
        <w:tc>
          <w:tcPr>
            <w:tcW w:w="2357" w:type="dxa"/>
            <w:tcBorders>
              <w:top w:val="single" w:sz="4" w:space="0" w:color="auto"/>
              <w:bottom w:val="single" w:sz="4" w:space="0" w:color="auto"/>
            </w:tcBorders>
            <w:vAlign w:val="center"/>
          </w:tcPr>
          <w:p w14:paraId="103B5B83" w14:textId="2339EA9E" w:rsidR="00850D53" w:rsidRPr="0033613A" w:rsidRDefault="00F60931" w:rsidP="00F60931">
            <w:pPr>
              <w:spacing w:line="276" w:lineRule="auto"/>
              <w:jc w:val="center"/>
              <w:rPr>
                <w:rFonts w:cs="Segoe UI"/>
              </w:rPr>
            </w:pPr>
            <w:r>
              <w:rPr>
                <w:rFonts w:cs="Segoe UI"/>
                <w:lang w:val="en-GB"/>
              </w:rPr>
              <w:lastRenderedPageBreak/>
              <w:t>Supported</w:t>
            </w:r>
          </w:p>
        </w:tc>
      </w:tr>
      <w:tr w:rsidR="00823910" w:rsidRPr="00B006DA" w14:paraId="65FD4CAE" w14:textId="77777777" w:rsidTr="006A4F50">
        <w:tc>
          <w:tcPr>
            <w:tcW w:w="2276" w:type="dxa"/>
            <w:tcBorders>
              <w:top w:val="single" w:sz="4" w:space="0" w:color="auto"/>
              <w:bottom w:val="single" w:sz="4" w:space="0" w:color="auto"/>
            </w:tcBorders>
            <w:vAlign w:val="center"/>
          </w:tcPr>
          <w:p w14:paraId="02DC5825" w14:textId="56125254" w:rsidR="00823910" w:rsidRDefault="00823910" w:rsidP="00726913">
            <w:pPr>
              <w:spacing w:line="276" w:lineRule="auto"/>
              <w:rPr>
                <w:rFonts w:cs="Segoe UI"/>
                <w:b/>
                <w:i/>
              </w:rPr>
            </w:pPr>
            <w:r>
              <w:rPr>
                <w:rFonts w:cs="Segoe UI"/>
                <w:b/>
                <w:i/>
              </w:rPr>
              <w:t xml:space="preserve">Additional Permitted Uses Map </w:t>
            </w:r>
          </w:p>
        </w:tc>
        <w:tc>
          <w:tcPr>
            <w:tcW w:w="2276" w:type="dxa"/>
            <w:gridSpan w:val="2"/>
            <w:tcBorders>
              <w:top w:val="single" w:sz="4" w:space="0" w:color="auto"/>
              <w:bottom w:val="single" w:sz="4" w:space="0" w:color="auto"/>
            </w:tcBorders>
            <w:vAlign w:val="center"/>
          </w:tcPr>
          <w:p w14:paraId="5A2E3C29" w14:textId="15C2AC04" w:rsidR="00823910" w:rsidRPr="00DF7727" w:rsidRDefault="00DF7727" w:rsidP="0033613A">
            <w:pPr>
              <w:spacing w:line="276" w:lineRule="auto"/>
              <w:jc w:val="center"/>
              <w:rPr>
                <w:rFonts w:cs="Segoe UI"/>
                <w:i/>
                <w:iCs/>
              </w:rPr>
            </w:pPr>
            <w:r w:rsidRPr="00DF7727">
              <w:rPr>
                <w:rFonts w:cs="Segoe UI"/>
                <w:i/>
                <w:iCs/>
              </w:rPr>
              <w:t>Nil</w:t>
            </w:r>
          </w:p>
        </w:tc>
        <w:tc>
          <w:tcPr>
            <w:tcW w:w="2276" w:type="dxa"/>
            <w:tcBorders>
              <w:top w:val="single" w:sz="4" w:space="0" w:color="auto"/>
              <w:bottom w:val="single" w:sz="4" w:space="0" w:color="auto"/>
            </w:tcBorders>
            <w:vAlign w:val="center"/>
          </w:tcPr>
          <w:p w14:paraId="370093FA" w14:textId="4C9BE9BD" w:rsidR="00DF7727" w:rsidRPr="00DF7727" w:rsidRDefault="00DF7727" w:rsidP="00DA6761">
            <w:pPr>
              <w:spacing w:line="276" w:lineRule="auto"/>
              <w:rPr>
                <w:rFonts w:cs="Segoe UI"/>
              </w:rPr>
            </w:pPr>
            <w:r w:rsidRPr="00DF7727">
              <w:rPr>
                <w:rFonts w:cs="Segoe UI"/>
              </w:rPr>
              <w:t>To include the following properties on the</w:t>
            </w:r>
            <w:r>
              <w:rPr>
                <w:rFonts w:cs="Segoe UI"/>
              </w:rPr>
              <w:t xml:space="preserve"> </w:t>
            </w:r>
            <w:proofErr w:type="spellStart"/>
            <w:r>
              <w:rPr>
                <w:rFonts w:cs="Segoe UI"/>
              </w:rPr>
              <w:t>APU</w:t>
            </w:r>
            <w:proofErr w:type="spellEnd"/>
            <w:r w:rsidRPr="00DF7727">
              <w:rPr>
                <w:rFonts w:cs="Segoe UI"/>
              </w:rPr>
              <w:t xml:space="preserve"> map:</w:t>
            </w:r>
          </w:p>
          <w:p w14:paraId="2C39A1C8" w14:textId="77777777" w:rsidR="00DF7727" w:rsidRPr="00DF7727" w:rsidRDefault="00DF7727" w:rsidP="00DF7727">
            <w:pPr>
              <w:spacing w:line="276" w:lineRule="auto"/>
              <w:rPr>
                <w:rFonts w:cs="Segoe UI"/>
              </w:rPr>
            </w:pPr>
            <w:bookmarkStart w:id="4" w:name="_Hlk107991548"/>
            <w:r w:rsidRPr="00DF7727">
              <w:rPr>
                <w:rFonts w:cs="Segoe UI"/>
              </w:rPr>
              <w:t>Lot 1 DP 207158 (231 Pacific Highway, Mount White)</w:t>
            </w:r>
          </w:p>
          <w:p w14:paraId="3AC6DDFE" w14:textId="3A0045D5" w:rsidR="00823910" w:rsidRPr="006A4F50" w:rsidRDefault="00DF7727" w:rsidP="00DF7727">
            <w:pPr>
              <w:spacing w:line="276" w:lineRule="auto"/>
              <w:rPr>
                <w:rFonts w:cs="Segoe UI"/>
              </w:rPr>
            </w:pPr>
            <w:r w:rsidRPr="00DF7727">
              <w:rPr>
                <w:rFonts w:cs="Segoe UI"/>
              </w:rPr>
              <w:t xml:space="preserve">Lot 1 DP547622 (20 </w:t>
            </w:r>
            <w:proofErr w:type="spellStart"/>
            <w:r w:rsidRPr="00DF7727">
              <w:rPr>
                <w:rFonts w:cs="Segoe UI"/>
              </w:rPr>
              <w:t>Ashbrookes</w:t>
            </w:r>
            <w:proofErr w:type="spellEnd"/>
            <w:r w:rsidRPr="00DF7727">
              <w:rPr>
                <w:rFonts w:cs="Segoe UI"/>
              </w:rPr>
              <w:t xml:space="preserve"> Road, Mount White)</w:t>
            </w:r>
            <w:bookmarkEnd w:id="4"/>
          </w:p>
        </w:tc>
        <w:tc>
          <w:tcPr>
            <w:tcW w:w="2357" w:type="dxa"/>
            <w:tcBorders>
              <w:top w:val="single" w:sz="4" w:space="0" w:color="auto"/>
              <w:bottom w:val="single" w:sz="4" w:space="0" w:color="auto"/>
            </w:tcBorders>
            <w:vAlign w:val="center"/>
          </w:tcPr>
          <w:p w14:paraId="7A3F35BB" w14:textId="476A16C0" w:rsidR="00823910" w:rsidRPr="0033613A" w:rsidRDefault="00F60931" w:rsidP="0033613A">
            <w:pPr>
              <w:spacing w:line="276" w:lineRule="auto"/>
              <w:jc w:val="center"/>
              <w:rPr>
                <w:rFonts w:cs="Segoe UI"/>
              </w:rPr>
            </w:pPr>
            <w:r>
              <w:rPr>
                <w:rFonts w:cs="Segoe UI"/>
              </w:rPr>
              <w:t>Supported</w:t>
            </w:r>
          </w:p>
        </w:tc>
      </w:tr>
    </w:tbl>
    <w:p w14:paraId="2F5C1F5D" w14:textId="4BF79A98" w:rsidR="00A160C1" w:rsidRDefault="00A160C1" w:rsidP="001C726C">
      <w:pPr>
        <w:rPr>
          <w:rFonts w:cs="Segoe UI"/>
          <w:b/>
          <w:color w:val="606060"/>
          <w:sz w:val="24"/>
          <w:szCs w:val="24"/>
        </w:rPr>
      </w:pPr>
    </w:p>
    <w:p w14:paraId="74F28C29" w14:textId="7752ACB7" w:rsidR="00F60931" w:rsidRDefault="00F60931" w:rsidP="00F60931">
      <w:pPr>
        <w:keepNext/>
        <w:spacing w:before="200"/>
        <w:outlineLvl w:val="1"/>
        <w:rPr>
          <w:rFonts w:cs="Segoe UI"/>
          <w:b/>
          <w:color w:val="606060"/>
          <w:sz w:val="24"/>
          <w:szCs w:val="24"/>
        </w:rPr>
      </w:pPr>
      <w:r w:rsidRPr="00F60931">
        <w:rPr>
          <w:rFonts w:eastAsia="Segoe UI" w:cs="Segoe UI"/>
          <w:b/>
          <w:bCs/>
          <w:color w:val="004280"/>
          <w:sz w:val="24"/>
          <w:szCs w:val="24"/>
          <w:lang w:val="en-US"/>
        </w:rPr>
        <w:t>Proposal</w:t>
      </w:r>
      <w:r w:rsidRPr="00F60931">
        <w:rPr>
          <w:rFonts w:cs="Segoe UI"/>
          <w:b/>
          <w:color w:val="606060"/>
          <w:sz w:val="20"/>
          <w:szCs w:val="20"/>
        </w:rPr>
        <w:t xml:space="preserve"> </w:t>
      </w:r>
      <w:r w:rsidRPr="00F60931">
        <w:rPr>
          <w:rFonts w:eastAsia="Segoe UI" w:cs="Segoe UI"/>
          <w:b/>
          <w:bCs/>
          <w:color w:val="004280"/>
          <w:sz w:val="24"/>
          <w:szCs w:val="24"/>
          <w:lang w:val="en-US"/>
        </w:rPr>
        <w:t>Summary</w:t>
      </w:r>
      <w:r w:rsidRPr="00F60931">
        <w:rPr>
          <w:rFonts w:cs="Segoe UI"/>
          <w:b/>
          <w:color w:val="606060"/>
          <w:sz w:val="20"/>
          <w:szCs w:val="20"/>
        </w:rPr>
        <w:t xml:space="preserve"> </w:t>
      </w:r>
    </w:p>
    <w:p w14:paraId="53B87866" w14:textId="076E6537" w:rsidR="00B202E3" w:rsidRDefault="00B202E3" w:rsidP="00F60931">
      <w:pPr>
        <w:jc w:val="both"/>
        <w:rPr>
          <w:rFonts w:cs="Segoe UI"/>
        </w:rPr>
      </w:pPr>
      <w:r w:rsidRPr="00B202E3">
        <w:rPr>
          <w:rFonts w:cs="Segoe UI"/>
        </w:rPr>
        <w:t xml:space="preserve">This Planning Proposal seeks to allow the existing ‘Saddles Restaurant’ that is the main tourist attraction of 20 </w:t>
      </w:r>
      <w:proofErr w:type="spellStart"/>
      <w:r w:rsidRPr="00B202E3">
        <w:rPr>
          <w:rFonts w:cs="Segoe UI"/>
        </w:rPr>
        <w:t>Ashbrookes</w:t>
      </w:r>
      <w:proofErr w:type="spellEnd"/>
      <w:r w:rsidRPr="00B202E3">
        <w:rPr>
          <w:rFonts w:cs="Segoe UI"/>
        </w:rPr>
        <w:t xml:space="preserve"> Road, Mount White (Lot 1 DP 547622), to operate as a permissible land use. And allow a number of </w:t>
      </w:r>
      <w:proofErr w:type="spellStart"/>
      <w:r w:rsidRPr="00B202E3">
        <w:rPr>
          <w:rFonts w:cs="Segoe UI"/>
        </w:rPr>
        <w:t>APU’s</w:t>
      </w:r>
      <w:proofErr w:type="spellEnd"/>
      <w:r w:rsidRPr="00B202E3">
        <w:rPr>
          <w:rFonts w:cs="Segoe UI"/>
        </w:rPr>
        <w:t xml:space="preserve"> at 231 Pacific Highway, Mount White (Lot 1 DP 207158) which will permit a range of different land uses to occur on the site. </w:t>
      </w:r>
      <w:proofErr w:type="spellStart"/>
      <w:r w:rsidRPr="00B202E3">
        <w:rPr>
          <w:rFonts w:cs="Segoe UI"/>
        </w:rPr>
        <w:t>APUs</w:t>
      </w:r>
      <w:proofErr w:type="spellEnd"/>
      <w:r w:rsidRPr="00B202E3">
        <w:rPr>
          <w:rFonts w:cs="Segoe UI"/>
        </w:rPr>
        <w:t xml:space="preserve"> proposed on this site include hotel or motel accommodation, restaurant, or café, a small bar and a day spa business premises, to be added as permissible land uses (with maximum floor area limits).</w:t>
      </w:r>
    </w:p>
    <w:p w14:paraId="3D3E5237" w14:textId="2004D626" w:rsidR="002F1B23" w:rsidRPr="00733080" w:rsidRDefault="00467C93">
      <w:pPr>
        <w:rPr>
          <w:rFonts w:cs="Segoe UI"/>
          <w:b/>
          <w:bCs/>
        </w:rPr>
      </w:pPr>
      <w:r w:rsidRPr="00733080">
        <w:rPr>
          <w:rFonts w:cs="Segoe UI"/>
          <w:b/>
          <w:bCs/>
        </w:rPr>
        <w:t>The Site</w:t>
      </w:r>
      <w:r w:rsidR="000E6794">
        <w:rPr>
          <w:rFonts w:cs="Segoe UI"/>
          <w:b/>
          <w:bCs/>
        </w:rPr>
        <w:t>s</w:t>
      </w:r>
    </w:p>
    <w:p w14:paraId="5A4DD241" w14:textId="619EEEB5" w:rsidR="00B202E3" w:rsidRDefault="00E46F6C" w:rsidP="00B202E3">
      <w:pPr>
        <w:rPr>
          <w:rFonts w:cs="Segoe UI"/>
        </w:rPr>
      </w:pPr>
      <w:bookmarkStart w:id="5" w:name="_Hlk108172506"/>
      <w:r w:rsidRPr="00733080">
        <w:rPr>
          <w:rFonts w:cs="Segoe UI"/>
        </w:rPr>
        <w:t xml:space="preserve">The irregular shaped </w:t>
      </w:r>
      <w:bookmarkStart w:id="6" w:name="_Hlk108172559"/>
      <w:r w:rsidRPr="00733080">
        <w:rPr>
          <w:rFonts w:cs="Segoe UI"/>
        </w:rPr>
        <w:t>allotments are characterised by rural settings in the Mount White area, with close proximity to the Pacific Highway and M1 Motorway</w:t>
      </w:r>
      <w:bookmarkEnd w:id="5"/>
      <w:bookmarkEnd w:id="6"/>
      <w:r w:rsidRPr="00733080">
        <w:rPr>
          <w:rFonts w:cs="Segoe UI"/>
        </w:rPr>
        <w:t xml:space="preserve">, as shown in Figure 1. </w:t>
      </w:r>
      <w:r w:rsidR="000E6794">
        <w:rPr>
          <w:rFonts w:cs="Segoe UI"/>
        </w:rPr>
        <w:t xml:space="preserve">Both allotments are zoned RU1 Primary Production and a portion of </w:t>
      </w:r>
      <w:r w:rsidR="000E6794" w:rsidRPr="00B202E3">
        <w:rPr>
          <w:rFonts w:cs="Segoe UI"/>
        </w:rPr>
        <w:t>Lot 1 DP 547622</w:t>
      </w:r>
      <w:r w:rsidR="000E6794">
        <w:rPr>
          <w:rFonts w:cs="Segoe UI"/>
        </w:rPr>
        <w:t xml:space="preserve"> is also zoned C2 Environmental Conservation. </w:t>
      </w:r>
      <w:r w:rsidR="00B202E3">
        <w:rPr>
          <w:rFonts w:cs="Segoe UI"/>
        </w:rPr>
        <w:t xml:space="preserve">Surrounding land uses include allotments utilised for </w:t>
      </w:r>
      <w:r w:rsidR="00B202E3">
        <w:rPr>
          <w:rFonts w:cs="Segoe UI"/>
        </w:rPr>
        <w:lastRenderedPageBreak/>
        <w:t xml:space="preserve">rural living and primary production purposes, Vicki </w:t>
      </w:r>
      <w:proofErr w:type="spellStart"/>
      <w:r w:rsidR="00B202E3">
        <w:rPr>
          <w:rFonts w:cs="Segoe UI"/>
        </w:rPr>
        <w:t>Roycroft</w:t>
      </w:r>
      <w:proofErr w:type="spellEnd"/>
      <w:r w:rsidR="00B202E3">
        <w:rPr>
          <w:rFonts w:cs="Segoe UI"/>
        </w:rPr>
        <w:t xml:space="preserve"> Horse Stables, Gosford Sandstone Quarry and Mount White Nursery. </w:t>
      </w:r>
    </w:p>
    <w:p w14:paraId="7687F767" w14:textId="30886959" w:rsidR="00B202E3" w:rsidRPr="00733080" w:rsidRDefault="00467DC3" w:rsidP="00B202E3">
      <w:pPr>
        <w:keepNext/>
        <w:rPr>
          <w:rFonts w:cs="Segoe UI"/>
        </w:rPr>
      </w:pPr>
      <w:r>
        <w:rPr>
          <w:noProof/>
        </w:rPr>
        <w:drawing>
          <wp:inline distT="0" distB="0" distL="0" distR="0" wp14:anchorId="7C3E5B3D" wp14:editId="3E770DA0">
            <wp:extent cx="5731510" cy="4141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141470"/>
                    </a:xfrm>
                    <a:prstGeom prst="rect">
                      <a:avLst/>
                    </a:prstGeom>
                  </pic:spPr>
                </pic:pic>
              </a:graphicData>
            </a:graphic>
          </wp:inline>
        </w:drawing>
      </w:r>
    </w:p>
    <w:p w14:paraId="6E2CBE14" w14:textId="694563C7" w:rsidR="00B202E3" w:rsidRPr="00B202E3" w:rsidRDefault="00B202E3" w:rsidP="00B202E3">
      <w:pPr>
        <w:pStyle w:val="Caption"/>
        <w:rPr>
          <w:rFonts w:cs="Segoe UI"/>
          <w:color w:val="auto"/>
          <w:sz w:val="22"/>
          <w:szCs w:val="22"/>
        </w:rPr>
      </w:pPr>
      <w:r w:rsidRPr="00733080">
        <w:rPr>
          <w:rFonts w:cs="Segoe UI"/>
          <w:color w:val="auto"/>
          <w:sz w:val="22"/>
          <w:szCs w:val="22"/>
        </w:rPr>
        <w:t xml:space="preserve">Figure </w:t>
      </w:r>
      <w:r w:rsidRPr="00733080">
        <w:rPr>
          <w:rFonts w:cs="Segoe UI"/>
          <w:color w:val="auto"/>
          <w:sz w:val="22"/>
          <w:szCs w:val="22"/>
        </w:rPr>
        <w:fldChar w:fldCharType="begin"/>
      </w:r>
      <w:r w:rsidRPr="00733080">
        <w:rPr>
          <w:rFonts w:cs="Segoe UI"/>
          <w:color w:val="auto"/>
          <w:sz w:val="22"/>
          <w:szCs w:val="22"/>
        </w:rPr>
        <w:instrText xml:space="preserve"> SEQ Figure \* ARABIC </w:instrText>
      </w:r>
      <w:r w:rsidRPr="00733080">
        <w:rPr>
          <w:rFonts w:cs="Segoe UI"/>
          <w:color w:val="auto"/>
          <w:sz w:val="22"/>
          <w:szCs w:val="22"/>
        </w:rPr>
        <w:fldChar w:fldCharType="separate"/>
      </w:r>
      <w:r w:rsidRPr="00733080">
        <w:rPr>
          <w:rFonts w:cs="Segoe UI"/>
          <w:noProof/>
          <w:color w:val="auto"/>
          <w:sz w:val="22"/>
          <w:szCs w:val="22"/>
        </w:rPr>
        <w:t>1</w:t>
      </w:r>
      <w:r w:rsidRPr="00733080">
        <w:rPr>
          <w:rFonts w:cs="Segoe UI"/>
          <w:color w:val="auto"/>
          <w:sz w:val="22"/>
          <w:szCs w:val="22"/>
        </w:rPr>
        <w:fldChar w:fldCharType="end"/>
      </w:r>
      <w:r w:rsidRPr="00733080">
        <w:rPr>
          <w:rFonts w:cs="Segoe UI"/>
          <w:color w:val="auto"/>
          <w:sz w:val="22"/>
          <w:szCs w:val="22"/>
        </w:rPr>
        <w:t xml:space="preserve"> Aerial photo</w:t>
      </w:r>
      <w:r>
        <w:rPr>
          <w:rFonts w:cs="Segoe UI"/>
          <w:color w:val="auto"/>
          <w:sz w:val="22"/>
          <w:szCs w:val="22"/>
        </w:rPr>
        <w:t xml:space="preserve"> of sites</w:t>
      </w:r>
      <w:r w:rsidR="00467DC3">
        <w:rPr>
          <w:rFonts w:cs="Segoe UI"/>
          <w:color w:val="auto"/>
          <w:sz w:val="22"/>
          <w:szCs w:val="22"/>
        </w:rPr>
        <w:t xml:space="preserve"> with zoning overlay </w:t>
      </w:r>
    </w:p>
    <w:p w14:paraId="4963B1A0" w14:textId="4ABA0161" w:rsidR="00B202E3" w:rsidRPr="00B202E3" w:rsidRDefault="00B202E3" w:rsidP="00B202E3">
      <w:pPr>
        <w:spacing w:before="0" w:after="160" w:line="259" w:lineRule="auto"/>
        <w:rPr>
          <w:rFonts w:eastAsia="Calibri" w:cs="Segoe UI"/>
          <w:lang w:eastAsia="en-US"/>
        </w:rPr>
      </w:pPr>
      <w:r w:rsidRPr="00B202E3">
        <w:rPr>
          <w:rFonts w:eastAsia="Calibri" w:cs="Segoe UI"/>
          <w:lang w:eastAsia="en-US"/>
        </w:rPr>
        <w:t xml:space="preserve">20 </w:t>
      </w:r>
      <w:proofErr w:type="spellStart"/>
      <w:r w:rsidRPr="00B202E3">
        <w:rPr>
          <w:rFonts w:eastAsia="Calibri" w:cs="Segoe UI"/>
          <w:lang w:eastAsia="en-US"/>
        </w:rPr>
        <w:t>Ashbrookes</w:t>
      </w:r>
      <w:proofErr w:type="spellEnd"/>
      <w:r w:rsidRPr="00B202E3">
        <w:rPr>
          <w:rFonts w:eastAsia="Calibri" w:cs="Segoe UI"/>
          <w:lang w:eastAsia="en-US"/>
        </w:rPr>
        <w:t xml:space="preserve"> Road is currently used as Saddles Garden Centre</w:t>
      </w:r>
      <w:r w:rsidR="000222C0">
        <w:rPr>
          <w:rFonts w:eastAsia="Calibri" w:cs="Segoe UI"/>
          <w:lang w:eastAsia="en-US"/>
        </w:rPr>
        <w:t xml:space="preserve"> with </w:t>
      </w:r>
      <w:r w:rsidRPr="00B202E3">
        <w:rPr>
          <w:rFonts w:eastAsia="Calibri" w:cs="Segoe UI"/>
          <w:lang w:eastAsia="en-US"/>
        </w:rPr>
        <w:t>Saddles Restaurant operat</w:t>
      </w:r>
      <w:r w:rsidR="000222C0">
        <w:rPr>
          <w:rFonts w:eastAsia="Calibri" w:cs="Segoe UI"/>
          <w:lang w:eastAsia="en-US"/>
        </w:rPr>
        <w:t xml:space="preserve">ing </w:t>
      </w:r>
      <w:r w:rsidRPr="00B202E3">
        <w:rPr>
          <w:rFonts w:eastAsia="Calibri" w:cs="Segoe UI"/>
          <w:lang w:eastAsia="en-US"/>
        </w:rPr>
        <w:t xml:space="preserve">as </w:t>
      </w:r>
      <w:r w:rsidR="000222C0">
        <w:rPr>
          <w:rFonts w:eastAsia="Calibri" w:cs="Segoe UI"/>
          <w:lang w:eastAsia="en-US"/>
        </w:rPr>
        <w:t xml:space="preserve">an </w:t>
      </w:r>
      <w:r w:rsidRPr="00B202E3">
        <w:rPr>
          <w:rFonts w:eastAsia="Calibri" w:cs="Segoe UI"/>
          <w:lang w:eastAsia="en-US"/>
        </w:rPr>
        <w:t>ancillary</w:t>
      </w:r>
      <w:r w:rsidR="000222C0">
        <w:rPr>
          <w:rFonts w:eastAsia="Calibri" w:cs="Segoe UI"/>
          <w:lang w:eastAsia="en-US"/>
        </w:rPr>
        <w:t xml:space="preserve"> use</w:t>
      </w:r>
      <w:r w:rsidRPr="00B202E3">
        <w:rPr>
          <w:rFonts w:eastAsia="Calibri" w:cs="Segoe UI"/>
          <w:lang w:eastAsia="en-US"/>
        </w:rPr>
        <w:t xml:space="preserve"> to the garden centre since construction approval in 2018 (31/07/2018). This site has been used as a garden centre since the 1990s and adjoins a plant nursery along its </w:t>
      </w:r>
      <w:r w:rsidR="003B51EE">
        <w:rPr>
          <w:rFonts w:eastAsia="Calibri" w:cs="Segoe UI"/>
          <w:lang w:eastAsia="en-US"/>
        </w:rPr>
        <w:t>southern</w:t>
      </w:r>
      <w:r w:rsidRPr="00B202E3">
        <w:rPr>
          <w:rFonts w:eastAsia="Calibri" w:cs="Segoe UI"/>
          <w:lang w:eastAsia="en-US"/>
        </w:rPr>
        <w:t xml:space="preserve"> boundary.</w:t>
      </w:r>
      <w:r w:rsidR="000222C0">
        <w:rPr>
          <w:rFonts w:eastAsia="Calibri" w:cs="Segoe UI"/>
          <w:lang w:eastAsia="en-US"/>
        </w:rPr>
        <w:t xml:space="preserve"> </w:t>
      </w:r>
    </w:p>
    <w:p w14:paraId="6D1AC7AE" w14:textId="6E1790E4" w:rsidR="00B202E3" w:rsidRPr="00B202E3" w:rsidRDefault="00B202E3" w:rsidP="00B202E3">
      <w:pPr>
        <w:spacing w:before="0" w:after="160" w:line="259" w:lineRule="auto"/>
        <w:rPr>
          <w:rFonts w:eastAsia="Calibri" w:cs="Segoe UI"/>
          <w:lang w:eastAsia="en-US"/>
        </w:rPr>
      </w:pPr>
      <w:r w:rsidRPr="00B202E3">
        <w:rPr>
          <w:rFonts w:eastAsia="Calibri" w:cs="Segoe UI"/>
          <w:lang w:eastAsia="en-US"/>
        </w:rPr>
        <w:t xml:space="preserve">231 Pacific Highway is a vacant site where recent demolition of existing structures on site (dwelling house, cottage and ancillary structures) occurred in 2021. Currently Integrated Dwelling House and Bed and Breakfast Accommodation with four bed and breakfast suites has been approved on the site (DA/6 2053/2021). The site was historically used as Hawkesbury Inn from the 1960s-1980s and a petrol station before that. This site adjoins Vicki </w:t>
      </w:r>
      <w:proofErr w:type="spellStart"/>
      <w:r w:rsidRPr="00B202E3">
        <w:rPr>
          <w:rFonts w:eastAsia="Calibri" w:cs="Segoe UI"/>
          <w:lang w:eastAsia="en-US"/>
        </w:rPr>
        <w:t>Roycroft</w:t>
      </w:r>
      <w:proofErr w:type="spellEnd"/>
      <w:r w:rsidRPr="00B202E3">
        <w:rPr>
          <w:rFonts w:eastAsia="Calibri" w:cs="Segoe UI"/>
          <w:lang w:eastAsia="en-US"/>
        </w:rPr>
        <w:t xml:space="preserve"> Stables on its western boundary.</w:t>
      </w:r>
    </w:p>
    <w:p w14:paraId="133BBF8C" w14:textId="534DDCC1" w:rsidR="00467C93" w:rsidRPr="00733080" w:rsidRDefault="00467C93">
      <w:pPr>
        <w:rPr>
          <w:rFonts w:cs="Segoe UI"/>
          <w:b/>
          <w:bCs/>
        </w:rPr>
      </w:pPr>
      <w:r w:rsidRPr="00733080">
        <w:rPr>
          <w:rFonts w:cs="Segoe UI"/>
          <w:b/>
          <w:bCs/>
        </w:rPr>
        <w:t xml:space="preserve">The Proposal </w:t>
      </w:r>
    </w:p>
    <w:p w14:paraId="351F63B5" w14:textId="77777777" w:rsidR="003D445D" w:rsidRPr="003D445D" w:rsidRDefault="003D445D" w:rsidP="003D445D">
      <w:pPr>
        <w:tabs>
          <w:tab w:val="right" w:pos="8931"/>
        </w:tabs>
        <w:spacing w:before="0" w:after="0" w:line="240" w:lineRule="auto"/>
        <w:rPr>
          <w:rFonts w:eastAsia="Times New Roman" w:cs="Segoe UI"/>
          <w:lang w:val="en-GB" w:eastAsia="en-US"/>
        </w:rPr>
      </w:pPr>
      <w:proofErr w:type="spellStart"/>
      <w:r w:rsidRPr="003D445D">
        <w:rPr>
          <w:rFonts w:eastAsia="Times New Roman" w:cs="Segoe UI"/>
          <w:u w:val="single"/>
          <w:lang w:val="en-GB" w:eastAsia="en-US"/>
        </w:rPr>
        <w:t>LEP</w:t>
      </w:r>
      <w:proofErr w:type="spellEnd"/>
      <w:r w:rsidRPr="003D445D">
        <w:rPr>
          <w:rFonts w:eastAsia="Times New Roman" w:cs="Segoe UI"/>
          <w:u w:val="single"/>
          <w:lang w:val="en-GB" w:eastAsia="en-US"/>
        </w:rPr>
        <w:t xml:space="preserve"> land use definitions to be applied</w:t>
      </w:r>
      <w:r w:rsidRPr="003D445D">
        <w:rPr>
          <w:rFonts w:eastAsia="Times New Roman" w:cs="Segoe UI"/>
          <w:lang w:val="en-GB" w:eastAsia="en-US"/>
        </w:rPr>
        <w:t xml:space="preserve">: </w:t>
      </w:r>
    </w:p>
    <w:p w14:paraId="1F2633F3" w14:textId="77777777" w:rsidR="003D445D" w:rsidRPr="003D445D" w:rsidRDefault="003D445D" w:rsidP="003D445D">
      <w:pPr>
        <w:spacing w:before="0" w:after="200"/>
        <w:ind w:left="720"/>
        <w:contextualSpacing/>
        <w:jc w:val="both"/>
        <w:rPr>
          <w:rFonts w:eastAsiaTheme="minorHAnsi" w:cs="Arial"/>
          <w:b/>
          <w:bCs/>
          <w:i/>
          <w:iCs/>
          <w:color w:val="000000"/>
          <w:sz w:val="20"/>
          <w:szCs w:val="20"/>
          <w:lang w:eastAsia="en-US"/>
        </w:rPr>
      </w:pPr>
    </w:p>
    <w:p w14:paraId="23F0C4B3"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b/>
          <w:bCs/>
          <w:i/>
          <w:iCs/>
          <w:color w:val="000000"/>
          <w:sz w:val="20"/>
          <w:szCs w:val="20"/>
          <w:lang w:eastAsia="en-US"/>
        </w:rPr>
        <w:lastRenderedPageBreak/>
        <w:t>hotel or motel accommodation</w:t>
      </w:r>
      <w:r w:rsidRPr="003D445D">
        <w:rPr>
          <w:rFonts w:eastAsiaTheme="minorHAnsi" w:cs="Arial"/>
          <w:i/>
          <w:iCs/>
          <w:color w:val="000000"/>
          <w:sz w:val="20"/>
          <w:szCs w:val="20"/>
          <w:lang w:eastAsia="en-US"/>
        </w:rPr>
        <w:t xml:space="preserve"> means a building or place (whether or not licensed premises under the Liquor Act 2007) that provides temporary or short-term accommodation on a commercial basis and that—</w:t>
      </w:r>
    </w:p>
    <w:p w14:paraId="66B6BDB9"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(a)  comprises rooms or self-contained suites, and</w:t>
      </w:r>
    </w:p>
    <w:p w14:paraId="0B9952FA"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(b)  may provide meals to guests or the general public and facilities for the parking of guests’ vehicles,</w:t>
      </w:r>
    </w:p>
    <w:p w14:paraId="14110276" w14:textId="77777777" w:rsidR="003D445D" w:rsidRPr="003D445D" w:rsidRDefault="003D445D" w:rsidP="003D445D">
      <w:pPr>
        <w:spacing w:before="0" w:after="200"/>
        <w:ind w:left="720"/>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but does not include backpackers’ accommodation, a boarding house, bed and breakfast accommodation or farm stay accommodation.</w:t>
      </w:r>
    </w:p>
    <w:p w14:paraId="6B9820D6" w14:textId="77777777" w:rsidR="003D445D" w:rsidRPr="003D445D" w:rsidRDefault="003D445D" w:rsidP="003D445D">
      <w:pPr>
        <w:spacing w:before="0" w:after="200"/>
        <w:ind w:left="720"/>
        <w:jc w:val="both"/>
        <w:rPr>
          <w:rFonts w:eastAsiaTheme="minorHAnsi" w:cs="Arial"/>
          <w:i/>
          <w:iCs/>
          <w:color w:val="000000"/>
          <w:sz w:val="20"/>
          <w:szCs w:val="20"/>
          <w:lang w:eastAsia="en-US"/>
        </w:rPr>
      </w:pPr>
      <w:r w:rsidRPr="003D445D">
        <w:rPr>
          <w:rFonts w:eastAsiaTheme="minorHAnsi" w:cs="Arial"/>
          <w:b/>
          <w:bCs/>
          <w:i/>
          <w:iCs/>
          <w:color w:val="000000"/>
          <w:sz w:val="20"/>
          <w:szCs w:val="20"/>
          <w:lang w:eastAsia="en-US"/>
        </w:rPr>
        <w:t>restaurant or cafe</w:t>
      </w:r>
      <w:r w:rsidRPr="003D445D">
        <w:rPr>
          <w:rFonts w:eastAsiaTheme="minorHAnsi" w:cs="Arial"/>
          <w:i/>
          <w:iCs/>
          <w:color w:val="000000"/>
          <w:sz w:val="20"/>
          <w:szCs w:val="20"/>
          <w:lang w:eastAsia="en-US"/>
        </w:rPr>
        <w:t> means a building or place the principal purpose of which is the preparation and serving, on a retail basis, of food and drink to people for consumption on the premises, whether or not liquor, take away meals and drinks or entertainment are also provided.</w:t>
      </w:r>
    </w:p>
    <w:p w14:paraId="4630A5E2" w14:textId="77777777" w:rsidR="003D445D" w:rsidRPr="003D445D" w:rsidRDefault="003D445D" w:rsidP="003D445D">
      <w:pPr>
        <w:spacing w:before="0" w:after="200"/>
        <w:ind w:left="720"/>
        <w:jc w:val="both"/>
        <w:rPr>
          <w:rFonts w:eastAsiaTheme="minorHAnsi" w:cs="Arial"/>
          <w:i/>
          <w:iCs/>
          <w:color w:val="000000"/>
          <w:sz w:val="20"/>
          <w:szCs w:val="20"/>
          <w:lang w:eastAsia="en-US"/>
        </w:rPr>
      </w:pPr>
      <w:r w:rsidRPr="003D445D">
        <w:rPr>
          <w:rFonts w:eastAsiaTheme="minorHAnsi" w:cs="Arial"/>
          <w:b/>
          <w:bCs/>
          <w:i/>
          <w:iCs/>
          <w:color w:val="000000"/>
          <w:sz w:val="20"/>
          <w:szCs w:val="20"/>
          <w:lang w:eastAsia="en-US"/>
        </w:rPr>
        <w:t>small bar</w:t>
      </w:r>
      <w:r w:rsidRPr="003D445D">
        <w:rPr>
          <w:rFonts w:eastAsiaTheme="minorHAnsi" w:cs="Arial"/>
          <w:i/>
          <w:iCs/>
          <w:color w:val="000000"/>
          <w:sz w:val="20"/>
          <w:szCs w:val="20"/>
          <w:lang w:eastAsia="en-US"/>
        </w:rPr>
        <w:t> means a small bar within the meaning of the </w:t>
      </w:r>
      <w:hyperlink r:id="rId9" w:history="1">
        <w:r w:rsidRPr="003D445D">
          <w:rPr>
            <w:rFonts w:eastAsiaTheme="minorHAnsi" w:cs="Arial"/>
            <w:i/>
            <w:iCs/>
            <w:color w:val="0066FF"/>
            <w:sz w:val="20"/>
            <w:szCs w:val="20"/>
            <w:u w:val="single"/>
            <w:lang w:eastAsia="en-US"/>
          </w:rPr>
          <w:t>Liquor Act 2007</w:t>
        </w:r>
      </w:hyperlink>
      <w:r w:rsidRPr="003D445D">
        <w:rPr>
          <w:rFonts w:eastAsiaTheme="minorHAnsi" w:cs="Arial"/>
          <w:i/>
          <w:iCs/>
          <w:color w:val="000000"/>
          <w:sz w:val="20"/>
          <w:szCs w:val="20"/>
          <w:lang w:eastAsia="en-US"/>
        </w:rPr>
        <w:t>.</w:t>
      </w:r>
    </w:p>
    <w:p w14:paraId="5358978E"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b/>
          <w:bCs/>
          <w:i/>
          <w:iCs/>
          <w:color w:val="000000"/>
          <w:sz w:val="20"/>
          <w:szCs w:val="20"/>
          <w:lang w:eastAsia="en-US"/>
        </w:rPr>
        <w:t>business premises</w:t>
      </w:r>
      <w:r w:rsidRPr="003D445D">
        <w:rPr>
          <w:rFonts w:eastAsiaTheme="minorHAnsi" w:cs="Arial"/>
          <w:i/>
          <w:iCs/>
          <w:color w:val="000000"/>
          <w:sz w:val="20"/>
          <w:szCs w:val="20"/>
          <w:lang w:eastAsia="en-US"/>
        </w:rPr>
        <w:t> means a building or place at or on which—</w:t>
      </w:r>
    </w:p>
    <w:p w14:paraId="08BB153B"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(a)  an occupation, profession or trade (other than an industry) is carried on for the provision of services directly to members of the public on a regular basis, or</w:t>
      </w:r>
    </w:p>
    <w:p w14:paraId="0C2A2877" w14:textId="77777777" w:rsidR="003D445D" w:rsidRPr="003D445D" w:rsidRDefault="003D445D" w:rsidP="003D445D">
      <w:pPr>
        <w:spacing w:before="0" w:after="200"/>
        <w:ind w:left="720"/>
        <w:contextualSpacing/>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(b)  a service is provided directly to members of the public on a regular basis,</w:t>
      </w:r>
    </w:p>
    <w:p w14:paraId="485F2144" w14:textId="77777777" w:rsidR="003D445D" w:rsidRPr="003D445D" w:rsidRDefault="003D445D" w:rsidP="003D445D">
      <w:pPr>
        <w:spacing w:before="0" w:after="200"/>
        <w:ind w:left="720"/>
        <w:jc w:val="both"/>
        <w:rPr>
          <w:rFonts w:eastAsiaTheme="minorHAnsi" w:cs="Arial"/>
          <w:i/>
          <w:iCs/>
          <w:color w:val="000000"/>
          <w:sz w:val="20"/>
          <w:szCs w:val="20"/>
          <w:lang w:eastAsia="en-US"/>
        </w:rPr>
      </w:pPr>
      <w:r w:rsidRPr="003D445D">
        <w:rPr>
          <w:rFonts w:eastAsiaTheme="minorHAnsi" w:cs="Arial"/>
          <w:i/>
          <w:iCs/>
          <w:color w:val="000000"/>
          <w:sz w:val="20"/>
          <w:szCs w:val="20"/>
          <w:lang w:eastAsia="en-US"/>
        </w:rPr>
        <w:t>and includes funeral homes, goods repair and reuse premises and, without limitation, premises such as banks, post offices, hairdressers, dry cleaners, travel agencies, betting agencies and the like, but does not include an entertainment facility, home business, home occupation, home occupation (sex services), medical centre, restricted premises, sex services premises or veterinary hospital.</w:t>
      </w:r>
    </w:p>
    <w:p w14:paraId="3AD7B61C" w14:textId="0347DFD9" w:rsidR="008C3C84" w:rsidRPr="008C3C84" w:rsidRDefault="008C3C84" w:rsidP="008C3C84">
      <w:pPr>
        <w:spacing w:before="0" w:after="0" w:line="240" w:lineRule="auto"/>
        <w:rPr>
          <w:rFonts w:eastAsia="Times New Roman" w:cs="Segoe UI"/>
          <w:bCs/>
          <w:lang w:val="en-GB" w:eastAsia="en-US"/>
        </w:rPr>
      </w:pPr>
      <w:r w:rsidRPr="003D445D">
        <w:rPr>
          <w:rFonts w:eastAsia="Times New Roman" w:cs="Segoe UI"/>
          <w:bCs/>
          <w:u w:val="single"/>
          <w:lang w:val="en-GB" w:eastAsia="en-US"/>
        </w:rPr>
        <w:t xml:space="preserve">Both </w:t>
      </w:r>
      <w:proofErr w:type="spellStart"/>
      <w:r w:rsidRPr="003D445D">
        <w:rPr>
          <w:rFonts w:eastAsia="Times New Roman" w:cs="Segoe UI"/>
          <w:bCs/>
          <w:u w:val="single"/>
          <w:lang w:val="en-GB" w:eastAsia="en-US"/>
        </w:rPr>
        <w:t>APUs</w:t>
      </w:r>
      <w:proofErr w:type="spellEnd"/>
      <w:r w:rsidRPr="003D445D">
        <w:rPr>
          <w:rFonts w:eastAsia="Times New Roman" w:cs="Segoe UI"/>
          <w:bCs/>
          <w:u w:val="single"/>
          <w:lang w:val="en-GB" w:eastAsia="en-US"/>
        </w:rPr>
        <w:t xml:space="preserve"> will include maximum floor area limits as follows</w:t>
      </w:r>
      <w:r w:rsidRPr="008C3C84">
        <w:rPr>
          <w:rFonts w:eastAsia="Times New Roman" w:cs="Segoe UI"/>
          <w:bCs/>
          <w:lang w:val="en-GB" w:eastAsia="en-US"/>
        </w:rPr>
        <w:t xml:space="preserve">: </w:t>
      </w:r>
    </w:p>
    <w:p w14:paraId="40F16C0E" w14:textId="77777777" w:rsidR="00BB541A" w:rsidRDefault="00BB541A" w:rsidP="008C3C84">
      <w:pPr>
        <w:spacing w:before="0" w:after="0" w:line="240" w:lineRule="auto"/>
        <w:rPr>
          <w:rFonts w:eastAsia="Times New Roman" w:cs="Segoe UI"/>
          <w:bCs/>
          <w:u w:val="single"/>
          <w:lang w:val="en-GB" w:eastAsia="en-US"/>
        </w:rPr>
      </w:pPr>
    </w:p>
    <w:p w14:paraId="20384213" w14:textId="77777777" w:rsidR="00BB541A" w:rsidRPr="00BB541A" w:rsidRDefault="00BB541A" w:rsidP="00BB541A">
      <w:pPr>
        <w:spacing w:before="0" w:after="0" w:line="240" w:lineRule="auto"/>
        <w:rPr>
          <w:rFonts w:eastAsia="Times New Roman" w:cs="Segoe UI"/>
          <w:bCs/>
          <w:u w:val="single"/>
          <w:lang w:val="en-GB" w:eastAsia="en-US"/>
        </w:rPr>
      </w:pPr>
      <w:r w:rsidRPr="003D445D">
        <w:rPr>
          <w:rFonts w:eastAsia="Times New Roman" w:cs="Segoe UI"/>
          <w:bCs/>
          <w:lang w:val="en-GB" w:eastAsia="en-US"/>
        </w:rPr>
        <w:t xml:space="preserve">20 </w:t>
      </w:r>
      <w:proofErr w:type="spellStart"/>
      <w:r w:rsidRPr="003D445D">
        <w:rPr>
          <w:rFonts w:eastAsia="Times New Roman" w:cs="Segoe UI"/>
          <w:bCs/>
          <w:lang w:val="en-GB" w:eastAsia="en-US"/>
        </w:rPr>
        <w:t>Ashbrookes</w:t>
      </w:r>
      <w:proofErr w:type="spellEnd"/>
      <w:r w:rsidRPr="003D445D">
        <w:rPr>
          <w:rFonts w:eastAsia="Times New Roman" w:cs="Segoe UI"/>
          <w:bCs/>
          <w:lang w:val="en-GB" w:eastAsia="en-US"/>
        </w:rPr>
        <w:t xml:space="preserve"> Road:</w:t>
      </w:r>
      <w:r w:rsidRPr="00BB541A">
        <w:rPr>
          <w:rFonts w:eastAsia="Times New Roman" w:cs="Segoe UI"/>
          <w:bCs/>
          <w:u w:val="single"/>
          <w:lang w:val="en-GB" w:eastAsia="en-US"/>
        </w:rPr>
        <w:t xml:space="preserve"> </w:t>
      </w:r>
    </w:p>
    <w:p w14:paraId="294BA8FF" w14:textId="0B6EA39E" w:rsidR="00BB541A" w:rsidRPr="00BB541A" w:rsidRDefault="00BB541A" w:rsidP="00BB541A">
      <w:pPr>
        <w:numPr>
          <w:ilvl w:val="0"/>
          <w:numId w:val="7"/>
        </w:numPr>
        <w:spacing w:before="0" w:after="200" w:line="276" w:lineRule="auto"/>
        <w:contextualSpacing/>
        <w:rPr>
          <w:rFonts w:eastAsia="Times New Roman" w:cs="Segoe UI"/>
          <w:b/>
          <w:bCs/>
          <w:color w:val="002C77"/>
          <w:kern w:val="32"/>
          <w:sz w:val="28"/>
          <w:szCs w:val="32"/>
        </w:rPr>
      </w:pPr>
      <w:r w:rsidRPr="00BB541A">
        <w:rPr>
          <w:rFonts w:eastAsiaTheme="minorHAnsi" w:cs="Segoe UI"/>
          <w:lang w:eastAsia="en-US"/>
        </w:rPr>
        <w:t xml:space="preserve">Development is to remain at maximum </w:t>
      </w:r>
      <w:r w:rsidR="00505354">
        <w:rPr>
          <w:rFonts w:eastAsiaTheme="minorHAnsi" w:cs="Segoe UI"/>
          <w:lang w:eastAsia="en-US"/>
        </w:rPr>
        <w:t>370</w:t>
      </w:r>
      <w:r w:rsidRPr="00BB541A">
        <w:rPr>
          <w:rFonts w:eastAsiaTheme="minorHAnsi" w:cs="Segoe UI"/>
          <w:lang w:eastAsia="en-US"/>
        </w:rPr>
        <w:t>m</w:t>
      </w:r>
      <w:r w:rsidRPr="00BB541A">
        <w:rPr>
          <w:rFonts w:eastAsiaTheme="minorHAnsi" w:cs="Segoe UI"/>
          <w:vertAlign w:val="superscript"/>
          <w:lang w:eastAsia="en-US"/>
        </w:rPr>
        <w:t>2</w:t>
      </w:r>
      <w:r w:rsidRPr="00BB541A">
        <w:rPr>
          <w:rFonts w:eastAsiaTheme="minorHAnsi" w:cs="Segoe UI"/>
          <w:lang w:eastAsia="en-US"/>
        </w:rPr>
        <w:t xml:space="preserve"> floor area</w:t>
      </w:r>
      <w:r w:rsidR="00BE5A1A">
        <w:rPr>
          <w:rFonts w:eastAsiaTheme="minorHAnsi" w:cs="Segoe UI"/>
          <w:lang w:eastAsia="en-US"/>
        </w:rPr>
        <w:t xml:space="preserve"> (220m</w:t>
      </w:r>
      <w:r w:rsidR="00BE5A1A" w:rsidRPr="00BE5A1A">
        <w:rPr>
          <w:rFonts w:eastAsiaTheme="minorHAnsi" w:cs="Segoe UI"/>
          <w:vertAlign w:val="superscript"/>
          <w:lang w:eastAsia="en-US"/>
        </w:rPr>
        <w:t>2</w:t>
      </w:r>
      <w:r w:rsidR="00BE5A1A">
        <w:rPr>
          <w:rFonts w:eastAsiaTheme="minorHAnsi" w:cs="Segoe UI"/>
          <w:lang w:eastAsia="en-US"/>
        </w:rPr>
        <w:t xml:space="preserve"> of this is outdoor seating areas)</w:t>
      </w:r>
      <w:r w:rsidRPr="00BB541A">
        <w:rPr>
          <w:rFonts w:eastAsiaTheme="minorHAnsi" w:cs="Segoe UI"/>
          <w:lang w:eastAsia="en-US"/>
        </w:rPr>
        <w:t>.</w:t>
      </w:r>
    </w:p>
    <w:p w14:paraId="569F0D29" w14:textId="77777777" w:rsidR="00BB541A" w:rsidRPr="00BB541A" w:rsidRDefault="00BB541A" w:rsidP="00BB541A">
      <w:pPr>
        <w:spacing w:before="0" w:after="0" w:line="240" w:lineRule="auto"/>
        <w:rPr>
          <w:rFonts w:eastAsia="Times New Roman" w:cs="Segoe UI"/>
          <w:bCs/>
          <w:u w:val="single"/>
          <w:lang w:val="en-GB" w:eastAsia="en-US"/>
        </w:rPr>
      </w:pPr>
      <w:r w:rsidRPr="003D445D">
        <w:rPr>
          <w:rFonts w:eastAsia="Times New Roman" w:cs="Segoe UI"/>
          <w:bCs/>
          <w:lang w:val="en-GB" w:eastAsia="en-US"/>
        </w:rPr>
        <w:t xml:space="preserve">231 Pacific highway: </w:t>
      </w:r>
    </w:p>
    <w:p w14:paraId="2EC8C586" w14:textId="17A5093D" w:rsidR="00BB541A" w:rsidRPr="00BB541A" w:rsidRDefault="00BB541A" w:rsidP="00BB541A">
      <w:pPr>
        <w:numPr>
          <w:ilvl w:val="0"/>
          <w:numId w:val="6"/>
        </w:numPr>
        <w:spacing w:before="0" w:after="200" w:line="276" w:lineRule="auto"/>
        <w:contextualSpacing/>
        <w:rPr>
          <w:rFonts w:eastAsiaTheme="minorHAnsi" w:cs="Segoe UI"/>
          <w:lang w:eastAsia="en-US"/>
        </w:rPr>
      </w:pPr>
      <w:r w:rsidRPr="00BB541A">
        <w:rPr>
          <w:rFonts w:eastAsiaTheme="minorHAnsi" w:cs="Segoe UI"/>
          <w:lang w:eastAsia="en-US"/>
        </w:rPr>
        <w:t xml:space="preserve">Cafe or Restaurant, bar and veranda has a maximum floor area of </w:t>
      </w:r>
      <w:r w:rsidR="00505354">
        <w:rPr>
          <w:rFonts w:eastAsiaTheme="minorHAnsi" w:cs="Segoe UI"/>
          <w:lang w:eastAsia="en-US"/>
        </w:rPr>
        <w:t>38</w:t>
      </w:r>
      <w:r w:rsidRPr="00BB541A">
        <w:rPr>
          <w:rFonts w:eastAsiaTheme="minorHAnsi" w:cs="Segoe UI"/>
          <w:lang w:eastAsia="en-US"/>
        </w:rPr>
        <w:t>0m</w:t>
      </w:r>
      <w:r w:rsidRPr="00BB541A">
        <w:rPr>
          <w:rFonts w:eastAsiaTheme="minorHAnsi" w:cs="Segoe UI"/>
          <w:vertAlign w:val="superscript"/>
          <w:lang w:eastAsia="en-US"/>
        </w:rPr>
        <w:t>2</w:t>
      </w:r>
      <w:r w:rsidR="00BE5A1A">
        <w:rPr>
          <w:rFonts w:eastAsiaTheme="minorHAnsi" w:cs="Segoe UI"/>
          <w:lang w:eastAsia="en-US"/>
        </w:rPr>
        <w:t>(150m</w:t>
      </w:r>
      <w:r w:rsidR="00BE5A1A" w:rsidRPr="00BE5A1A">
        <w:rPr>
          <w:rFonts w:eastAsiaTheme="minorHAnsi" w:cs="Segoe UI"/>
          <w:vertAlign w:val="superscript"/>
          <w:lang w:eastAsia="en-US"/>
        </w:rPr>
        <w:t>2</w:t>
      </w:r>
      <w:r w:rsidR="00BE5A1A">
        <w:rPr>
          <w:rFonts w:eastAsiaTheme="minorHAnsi" w:cs="Segoe UI"/>
          <w:lang w:eastAsia="en-US"/>
        </w:rPr>
        <w:t xml:space="preserve"> of this is outdoor seating)</w:t>
      </w:r>
      <w:r w:rsidRPr="00BB541A">
        <w:rPr>
          <w:rFonts w:eastAsiaTheme="minorHAnsi" w:cs="Segoe UI"/>
          <w:lang w:eastAsia="en-US"/>
        </w:rPr>
        <w:t>;</w:t>
      </w:r>
    </w:p>
    <w:p w14:paraId="674E612C" w14:textId="27EAE54C" w:rsidR="00BB541A" w:rsidRDefault="00BB541A" w:rsidP="00BB541A">
      <w:pPr>
        <w:numPr>
          <w:ilvl w:val="0"/>
          <w:numId w:val="6"/>
        </w:numPr>
        <w:spacing w:before="0" w:after="200" w:line="276" w:lineRule="auto"/>
        <w:contextualSpacing/>
        <w:rPr>
          <w:rFonts w:eastAsiaTheme="minorHAnsi" w:cs="Segoe UI"/>
          <w:lang w:eastAsia="en-US"/>
        </w:rPr>
      </w:pPr>
      <w:r w:rsidRPr="00BB541A">
        <w:rPr>
          <w:rFonts w:eastAsiaTheme="minorHAnsi" w:cs="Segoe UI"/>
          <w:lang w:eastAsia="en-US"/>
        </w:rPr>
        <w:t xml:space="preserve">Day spa business premises has a </w:t>
      </w:r>
      <w:r w:rsidR="00BE5A1A">
        <w:rPr>
          <w:rFonts w:eastAsiaTheme="minorHAnsi" w:cs="Segoe UI"/>
          <w:lang w:eastAsia="en-US"/>
        </w:rPr>
        <w:t>Gross Floor Area (</w:t>
      </w:r>
      <w:proofErr w:type="spellStart"/>
      <w:r w:rsidR="00BE5A1A">
        <w:rPr>
          <w:rFonts w:eastAsiaTheme="minorHAnsi" w:cs="Segoe UI"/>
          <w:lang w:eastAsia="en-US"/>
        </w:rPr>
        <w:t>GFA</w:t>
      </w:r>
      <w:proofErr w:type="spellEnd"/>
      <w:r w:rsidR="00BE5A1A">
        <w:rPr>
          <w:rFonts w:eastAsiaTheme="minorHAnsi" w:cs="Segoe UI"/>
          <w:lang w:eastAsia="en-US"/>
        </w:rPr>
        <w:t xml:space="preserve">) </w:t>
      </w:r>
      <w:r w:rsidRPr="00BB541A">
        <w:rPr>
          <w:rFonts w:eastAsiaTheme="minorHAnsi" w:cs="Segoe UI"/>
          <w:lang w:eastAsia="en-US"/>
        </w:rPr>
        <w:t>of 300m</w:t>
      </w:r>
      <w:r w:rsidRPr="00BB541A">
        <w:rPr>
          <w:rFonts w:eastAsiaTheme="minorHAnsi" w:cs="Segoe UI"/>
          <w:vertAlign w:val="superscript"/>
          <w:lang w:eastAsia="en-US"/>
        </w:rPr>
        <w:t>2</w:t>
      </w:r>
      <w:r w:rsidRPr="00BB541A">
        <w:rPr>
          <w:rFonts w:eastAsiaTheme="minorHAnsi" w:cs="Segoe UI"/>
          <w:lang w:eastAsia="en-US"/>
        </w:rPr>
        <w:t>;</w:t>
      </w:r>
    </w:p>
    <w:p w14:paraId="1F08DA1A" w14:textId="6A684503" w:rsidR="00505354" w:rsidRPr="00505354" w:rsidRDefault="00505354" w:rsidP="00505354">
      <w:pPr>
        <w:numPr>
          <w:ilvl w:val="0"/>
          <w:numId w:val="6"/>
        </w:numPr>
        <w:spacing w:before="0" w:after="0" w:line="276" w:lineRule="auto"/>
        <w:contextualSpacing/>
        <w:rPr>
          <w:rFonts w:eastAsia="Times New Roman" w:cs="Segoe UI"/>
          <w:lang w:val="en-GB"/>
        </w:rPr>
      </w:pPr>
      <w:r w:rsidRPr="00505354">
        <w:rPr>
          <w:rFonts w:eastAsia="Times New Roman" w:cs="Segoe UI"/>
        </w:rPr>
        <w:t xml:space="preserve">Accommodation lobby, Housekeeping, </w:t>
      </w:r>
      <w:proofErr w:type="spellStart"/>
      <w:r w:rsidRPr="00505354">
        <w:rPr>
          <w:rFonts w:eastAsia="Times New Roman" w:cs="Segoe UI"/>
        </w:rPr>
        <w:t>BOH</w:t>
      </w:r>
      <w:proofErr w:type="spellEnd"/>
      <w:r w:rsidRPr="00505354">
        <w:rPr>
          <w:rFonts w:eastAsia="Times New Roman" w:cs="Segoe UI"/>
        </w:rPr>
        <w:t xml:space="preserve"> and Bathrooms </w:t>
      </w:r>
      <w:r w:rsidR="00BE5A1A">
        <w:rPr>
          <w:rFonts w:eastAsia="Times New Roman" w:cs="Segoe UI"/>
        </w:rPr>
        <w:t xml:space="preserve">has a </w:t>
      </w:r>
      <w:proofErr w:type="spellStart"/>
      <w:r w:rsidR="00BE5A1A">
        <w:rPr>
          <w:rFonts w:eastAsia="Times New Roman" w:cs="Segoe UI"/>
        </w:rPr>
        <w:t>GFA</w:t>
      </w:r>
      <w:proofErr w:type="spellEnd"/>
      <w:r w:rsidR="00BE5A1A">
        <w:rPr>
          <w:rFonts w:eastAsia="Times New Roman" w:cs="Segoe UI"/>
        </w:rPr>
        <w:t xml:space="preserve"> of </w:t>
      </w:r>
      <w:r w:rsidRPr="00505354">
        <w:rPr>
          <w:rFonts w:eastAsia="Times New Roman" w:cs="Segoe UI"/>
        </w:rPr>
        <w:t>310m</w:t>
      </w:r>
      <w:r w:rsidRPr="00BE5A1A">
        <w:rPr>
          <w:rFonts w:eastAsia="Times New Roman" w:cs="Segoe UI"/>
          <w:vertAlign w:val="superscript"/>
        </w:rPr>
        <w:t>2</w:t>
      </w:r>
      <w:r w:rsidRPr="00505354">
        <w:rPr>
          <w:rFonts w:eastAsia="Times New Roman" w:cs="Segoe UI"/>
        </w:rPr>
        <w:t xml:space="preserve">; and </w:t>
      </w:r>
    </w:p>
    <w:p w14:paraId="44F2B75E" w14:textId="572DDB6E" w:rsidR="00BB541A" w:rsidRPr="00BB541A" w:rsidRDefault="00BB541A" w:rsidP="00BB541A">
      <w:pPr>
        <w:numPr>
          <w:ilvl w:val="0"/>
          <w:numId w:val="6"/>
        </w:numPr>
        <w:spacing w:before="0" w:after="200" w:line="276" w:lineRule="auto"/>
        <w:contextualSpacing/>
        <w:rPr>
          <w:rFonts w:eastAsiaTheme="minorHAnsi" w:cs="Segoe UI"/>
          <w:lang w:eastAsia="en-US"/>
        </w:rPr>
      </w:pPr>
      <w:r w:rsidRPr="00BB541A">
        <w:rPr>
          <w:rFonts w:eastAsiaTheme="minorHAnsi" w:cs="Segoe UI"/>
          <w:lang w:eastAsia="en-US"/>
        </w:rPr>
        <w:t xml:space="preserve">Hotel or motel accommodation (maximum 20 </w:t>
      </w:r>
      <w:r w:rsidR="00505354">
        <w:rPr>
          <w:rFonts w:eastAsiaTheme="minorHAnsi" w:cs="Segoe UI"/>
          <w:lang w:eastAsia="en-US"/>
        </w:rPr>
        <w:t xml:space="preserve">single </w:t>
      </w:r>
      <w:r w:rsidRPr="00BB541A">
        <w:rPr>
          <w:rFonts w:eastAsiaTheme="minorHAnsi" w:cs="Segoe UI"/>
          <w:lang w:eastAsia="en-US"/>
        </w:rPr>
        <w:t xml:space="preserve">room/ suites) has a </w:t>
      </w:r>
      <w:proofErr w:type="spellStart"/>
      <w:r w:rsidR="00BE5A1A">
        <w:rPr>
          <w:rFonts w:eastAsiaTheme="minorHAnsi" w:cs="Segoe UI"/>
          <w:lang w:eastAsia="en-US"/>
        </w:rPr>
        <w:t>GFA</w:t>
      </w:r>
      <w:proofErr w:type="spellEnd"/>
      <w:r w:rsidRPr="00BB541A">
        <w:rPr>
          <w:rFonts w:eastAsiaTheme="minorHAnsi" w:cs="Segoe UI"/>
          <w:lang w:eastAsia="en-US"/>
        </w:rPr>
        <w:t xml:space="preserve"> of 1,040m</w:t>
      </w:r>
      <w:r w:rsidRPr="00BE5A1A">
        <w:rPr>
          <w:rFonts w:eastAsiaTheme="minorHAnsi" w:cs="Segoe UI"/>
          <w:vertAlign w:val="superscript"/>
          <w:lang w:eastAsia="en-US"/>
        </w:rPr>
        <w:t>2</w:t>
      </w:r>
      <w:r w:rsidRPr="00BB541A">
        <w:rPr>
          <w:rFonts w:eastAsiaTheme="minorHAnsi" w:cs="Segoe UI"/>
          <w:lang w:eastAsia="en-US"/>
        </w:rPr>
        <w:t xml:space="preserve">. </w:t>
      </w:r>
    </w:p>
    <w:p w14:paraId="20F8487A" w14:textId="77777777" w:rsidR="00E46F6C" w:rsidRPr="00733080" w:rsidRDefault="00E46F6C" w:rsidP="007306D0">
      <w:pPr>
        <w:jc w:val="both"/>
        <w:rPr>
          <w:rFonts w:cs="Segoe UI"/>
        </w:rPr>
      </w:pPr>
    </w:p>
    <w:p w14:paraId="4FD82940" w14:textId="13142E7F" w:rsidR="001B0C00" w:rsidRDefault="001B2A88" w:rsidP="00380EC7">
      <w:pPr>
        <w:jc w:val="both"/>
        <w:rPr>
          <w:rFonts w:cs="Segoe UI"/>
        </w:rPr>
      </w:pPr>
      <w:r w:rsidRPr="001B2A88">
        <w:rPr>
          <w:rFonts w:cs="Segoe UI"/>
        </w:rPr>
        <w:t xml:space="preserve">This Planning Proposal seeks to allow ‘Saddles Restaurant’, the main tourist attraction of the site, to operate as an </w:t>
      </w:r>
      <w:proofErr w:type="spellStart"/>
      <w:r w:rsidRPr="001B2A88">
        <w:rPr>
          <w:rFonts w:cs="Segoe UI"/>
        </w:rPr>
        <w:t>APU</w:t>
      </w:r>
      <w:proofErr w:type="spellEnd"/>
      <w:r w:rsidRPr="001B2A88">
        <w:rPr>
          <w:rFonts w:cs="Segoe UI"/>
        </w:rPr>
        <w:t xml:space="preserve"> rather than as ancillary use to Saddles Garden Centre at 20 </w:t>
      </w:r>
      <w:proofErr w:type="spellStart"/>
      <w:r w:rsidRPr="001B2A88">
        <w:rPr>
          <w:rFonts w:cs="Segoe UI"/>
        </w:rPr>
        <w:t>Ashbrookes</w:t>
      </w:r>
      <w:proofErr w:type="spellEnd"/>
      <w:r w:rsidRPr="001B2A88">
        <w:rPr>
          <w:rFonts w:cs="Segoe UI"/>
        </w:rPr>
        <w:t xml:space="preserve"> Road, Mount White. And deliver </w:t>
      </w:r>
      <w:proofErr w:type="spellStart"/>
      <w:r w:rsidR="000222C0">
        <w:rPr>
          <w:rFonts w:cs="Segoe UI"/>
        </w:rPr>
        <w:t>APUs</w:t>
      </w:r>
      <w:proofErr w:type="spellEnd"/>
      <w:r w:rsidR="000222C0">
        <w:rPr>
          <w:rFonts w:cs="Segoe UI"/>
        </w:rPr>
        <w:t xml:space="preserve"> of </w:t>
      </w:r>
      <w:r w:rsidRPr="001B2A88">
        <w:rPr>
          <w:rFonts w:cs="Segoe UI"/>
        </w:rPr>
        <w:t xml:space="preserve">restaurant, </w:t>
      </w:r>
      <w:r w:rsidR="000222C0">
        <w:rPr>
          <w:rFonts w:cs="Segoe UI"/>
        </w:rPr>
        <w:t xml:space="preserve">small bar, day spa and </w:t>
      </w:r>
      <w:r w:rsidRPr="001B2A88">
        <w:rPr>
          <w:rFonts w:cs="Segoe UI"/>
        </w:rPr>
        <w:t>hotel or motel accommodation and associated development to provide tourist accommodation</w:t>
      </w:r>
      <w:r w:rsidR="0031288C">
        <w:rPr>
          <w:rFonts w:cs="Segoe UI"/>
        </w:rPr>
        <w:t>/ attraction</w:t>
      </w:r>
      <w:r w:rsidRPr="001B2A88">
        <w:rPr>
          <w:rFonts w:cs="Segoe UI"/>
        </w:rPr>
        <w:t xml:space="preserve"> at 231 Pacific Highway, Mount White.</w:t>
      </w:r>
      <w:r>
        <w:rPr>
          <w:rFonts w:cs="Segoe UI"/>
        </w:rPr>
        <w:t xml:space="preserve"> </w:t>
      </w:r>
      <w:r w:rsidR="001B0C00">
        <w:rPr>
          <w:rFonts w:cs="Segoe UI"/>
        </w:rPr>
        <w:br w:type="page"/>
      </w:r>
    </w:p>
    <w:p w14:paraId="21E3D938" w14:textId="77777777" w:rsidR="001B0C00" w:rsidRPr="00733080" w:rsidRDefault="001B0C00" w:rsidP="001B2A88">
      <w:pPr>
        <w:jc w:val="both"/>
        <w:rPr>
          <w:rFonts w:cs="Segoe UI"/>
        </w:rPr>
      </w:pPr>
    </w:p>
    <w:p w14:paraId="4F452A43" w14:textId="05E0BED1" w:rsidR="00467C93" w:rsidRPr="00733080" w:rsidRDefault="00467C93" w:rsidP="00467C93">
      <w:pPr>
        <w:rPr>
          <w:rFonts w:cs="Segoe UI"/>
          <w:b/>
          <w:bCs/>
        </w:rPr>
      </w:pPr>
      <w:r w:rsidRPr="00733080">
        <w:rPr>
          <w:rFonts w:cs="Segoe UI"/>
          <w:b/>
          <w:bCs/>
        </w:rPr>
        <w:t xml:space="preserve">Assessment </w:t>
      </w:r>
    </w:p>
    <w:p w14:paraId="1795E9FC" w14:textId="6A74340A" w:rsidR="00467C93" w:rsidRDefault="00467C93" w:rsidP="00467C93">
      <w:pPr>
        <w:tabs>
          <w:tab w:val="right" w:pos="8931"/>
        </w:tabs>
        <w:spacing w:before="0" w:after="0" w:line="240" w:lineRule="auto"/>
        <w:rPr>
          <w:rFonts w:eastAsia="Times New Roman" w:cs="Segoe UI"/>
          <w:lang w:val="en-GB" w:eastAsia="en-US"/>
        </w:rPr>
      </w:pPr>
      <w:r w:rsidRPr="00733080">
        <w:rPr>
          <w:rFonts w:eastAsia="Times New Roman" w:cs="Segoe UI"/>
          <w:lang w:val="en-GB" w:eastAsia="en-US"/>
        </w:rPr>
        <w:t>The planning proposal is considered to have strategic planning merit for the following reasons:</w:t>
      </w:r>
    </w:p>
    <w:p w14:paraId="06FD629A" w14:textId="41BC6C96" w:rsidR="001B0C00" w:rsidRDefault="001B0C00" w:rsidP="00467C93">
      <w:pPr>
        <w:tabs>
          <w:tab w:val="right" w:pos="8931"/>
        </w:tabs>
        <w:spacing w:before="0" w:after="0" w:line="240" w:lineRule="auto"/>
        <w:rPr>
          <w:rFonts w:eastAsia="Times New Roman" w:cs="Segoe UI"/>
          <w:lang w:val="en-GB" w:eastAsia="en-US"/>
        </w:rPr>
      </w:pPr>
    </w:p>
    <w:p w14:paraId="51B2A140" w14:textId="04293F99" w:rsidR="00EF6D81" w:rsidRPr="00EF6D81" w:rsidRDefault="00EF6D81" w:rsidP="00EF6D81">
      <w:pPr>
        <w:pStyle w:val="ListParagraph"/>
        <w:numPr>
          <w:ilvl w:val="0"/>
          <w:numId w:val="5"/>
        </w:numPr>
        <w:tabs>
          <w:tab w:val="right" w:pos="8931"/>
        </w:tabs>
        <w:spacing w:before="0" w:after="0" w:line="240" w:lineRule="auto"/>
        <w:rPr>
          <w:rFonts w:eastAsia="Times New Roman" w:cs="Segoe UI"/>
          <w:lang w:val="en-GB" w:eastAsia="en-US"/>
        </w:rPr>
      </w:pPr>
      <w:r w:rsidRPr="00EF6D81">
        <w:rPr>
          <w:rFonts w:eastAsia="Times New Roman" w:cs="Segoe UI"/>
          <w:lang w:val="en-GB" w:eastAsia="en-US"/>
        </w:rPr>
        <w:t xml:space="preserve">The Planning Proposal will allow the ‘Saddles Restaurant’ to operate as a restaurant or café as a permissible land use and will permit a number of other supporting tourist  uses. The restaurant is currently operating successfully as a tourist attraction which promotes the Central Coast’s agritourism, rural areas and bush (Aligning with Direction 3 of the CCRP). </w:t>
      </w:r>
    </w:p>
    <w:p w14:paraId="4CE0FD00" w14:textId="77777777" w:rsidR="00EF6D81" w:rsidRPr="00EF6D81" w:rsidRDefault="00EF6D81" w:rsidP="00EF6D81">
      <w:pPr>
        <w:numPr>
          <w:ilvl w:val="0"/>
          <w:numId w:val="5"/>
        </w:numPr>
        <w:tabs>
          <w:tab w:val="right" w:pos="8931"/>
        </w:tabs>
        <w:spacing w:before="0" w:after="0" w:line="240" w:lineRule="auto"/>
        <w:contextualSpacing/>
        <w:rPr>
          <w:rFonts w:eastAsia="Times New Roman" w:cs="Segoe UI"/>
          <w:lang w:val="en-GB" w:eastAsia="en-US"/>
        </w:rPr>
      </w:pPr>
      <w:r w:rsidRPr="00EF6D81">
        <w:rPr>
          <w:rFonts w:eastAsia="Times New Roman" w:cs="Segoe UI"/>
          <w:lang w:val="en-GB" w:eastAsia="en-US"/>
        </w:rPr>
        <w:t xml:space="preserve">Council’s Local Strategic Planning Statement 2020 identifies opportunities to broaden the region’s scope of attractions including agricultural destinations that leverage the regions natural assets and scenic qualities, linking agriculture and appropriate forms of rural tourism. </w:t>
      </w:r>
    </w:p>
    <w:p w14:paraId="6E56C04A" w14:textId="77777777" w:rsidR="00EF6D81" w:rsidRPr="00EF6D81" w:rsidRDefault="00EF6D81" w:rsidP="00EF6D81">
      <w:pPr>
        <w:numPr>
          <w:ilvl w:val="0"/>
          <w:numId w:val="5"/>
        </w:numPr>
        <w:tabs>
          <w:tab w:val="right" w:pos="8931"/>
        </w:tabs>
        <w:spacing w:before="0" w:after="0" w:line="240" w:lineRule="auto"/>
        <w:contextualSpacing/>
        <w:rPr>
          <w:rFonts w:eastAsia="Times New Roman" w:cs="Segoe UI"/>
          <w:lang w:val="en-GB" w:eastAsia="en-US"/>
        </w:rPr>
      </w:pPr>
      <w:r w:rsidRPr="00EF6D81">
        <w:rPr>
          <w:rFonts w:eastAsia="Times New Roman" w:cs="Segoe UI"/>
          <w:lang w:val="en-GB" w:eastAsia="en-US"/>
        </w:rPr>
        <w:t xml:space="preserve">The Central Coast Regional Plan (CCRP) 2036 supports the development of rural areas that can adapt to changing agricultural trends and practices.  The proposal will provide additional local employment opportunities by increasing rural economic productivity through securing existing jobs and creating new jobs (Aligning with Direction 7 of the CCRP). It also diversifies the rural economy, while minimising land use conflicts to adjoining rural properties, primary production use properties and extractive industries by maintaining adequate buffers (Aligning with Direction 11 of the CCRP). </w:t>
      </w:r>
    </w:p>
    <w:p w14:paraId="111BC82D" w14:textId="77777777" w:rsidR="00EF6D81" w:rsidRPr="00EF6D81" w:rsidRDefault="00EF6D81" w:rsidP="00EF6D81">
      <w:pPr>
        <w:numPr>
          <w:ilvl w:val="0"/>
          <w:numId w:val="5"/>
        </w:numPr>
        <w:tabs>
          <w:tab w:val="right" w:pos="8931"/>
        </w:tabs>
        <w:spacing w:before="0" w:after="0" w:line="240" w:lineRule="auto"/>
        <w:contextualSpacing/>
        <w:rPr>
          <w:rFonts w:eastAsia="Times New Roman" w:cs="Segoe UI"/>
          <w:lang w:val="en-GB" w:eastAsia="en-US"/>
        </w:rPr>
      </w:pPr>
      <w:r w:rsidRPr="00EF6D81">
        <w:rPr>
          <w:rFonts w:eastAsia="Times New Roman" w:cs="Segoe UI"/>
          <w:lang w:val="en-GB" w:eastAsia="en-US"/>
        </w:rPr>
        <w:t>The proposal is also consistent with the Agritourism initiatives being introduced by the state government which aim to support rural economies across NSW.</w:t>
      </w:r>
    </w:p>
    <w:p w14:paraId="71DB3266" w14:textId="77777777" w:rsidR="00EF6D81" w:rsidRPr="00EF6D81" w:rsidRDefault="00EF6D81" w:rsidP="00EF6D81">
      <w:pPr>
        <w:numPr>
          <w:ilvl w:val="0"/>
          <w:numId w:val="5"/>
        </w:numPr>
        <w:spacing w:before="0" w:after="0" w:line="240" w:lineRule="auto"/>
        <w:contextualSpacing/>
        <w:rPr>
          <w:rFonts w:eastAsia="Times New Roman" w:cs="Segoe UI"/>
          <w:lang w:val="en-GB" w:eastAsia="en-US"/>
        </w:rPr>
      </w:pPr>
      <w:r w:rsidRPr="00EF6D81">
        <w:rPr>
          <w:rFonts w:eastAsia="Times New Roman" w:cs="Segoe UI"/>
          <w:lang w:val="en-GB" w:eastAsia="en-US"/>
        </w:rPr>
        <w:t>All site management issues with traffic, wastewater disposal, vegetation removal and land use conflicts can be adequately managed based on the information provided in supporting studies.</w:t>
      </w:r>
    </w:p>
    <w:p w14:paraId="749E8AA2" w14:textId="77777777" w:rsidR="001B0C00" w:rsidRPr="00733080" w:rsidRDefault="001B0C00" w:rsidP="00467C93">
      <w:pPr>
        <w:tabs>
          <w:tab w:val="right" w:pos="8931"/>
        </w:tabs>
        <w:spacing w:before="0" w:after="0" w:line="240" w:lineRule="auto"/>
        <w:rPr>
          <w:rFonts w:eastAsia="Times New Roman" w:cs="Segoe UI"/>
          <w:lang w:val="en-GB" w:eastAsia="en-US"/>
        </w:rPr>
      </w:pPr>
    </w:p>
    <w:p w14:paraId="189BD41C" w14:textId="77777777" w:rsidR="00467C93" w:rsidRPr="00733080" w:rsidRDefault="00467C93" w:rsidP="00467C93">
      <w:pPr>
        <w:tabs>
          <w:tab w:val="right" w:pos="8931"/>
        </w:tabs>
        <w:spacing w:before="0" w:after="0" w:line="240" w:lineRule="auto"/>
        <w:rPr>
          <w:rFonts w:eastAsia="Times New Roman" w:cs="Segoe UI"/>
          <w:lang w:val="en-GB" w:eastAsia="en-US"/>
        </w:rPr>
      </w:pPr>
    </w:p>
    <w:p w14:paraId="4D56DAA1" w14:textId="77777777" w:rsidR="00467C93" w:rsidRPr="00733080" w:rsidRDefault="00467C93" w:rsidP="00467C93">
      <w:pPr>
        <w:rPr>
          <w:rFonts w:cs="Segoe UI"/>
        </w:rPr>
      </w:pPr>
    </w:p>
    <w:sectPr w:rsidR="00467C93" w:rsidRPr="00733080" w:rsidSect="003C1F3B">
      <w:headerReference w:type="default" r:id="rId10"/>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7CF7" w14:textId="77777777" w:rsidR="00344915" w:rsidRDefault="00344915" w:rsidP="00712CE7">
      <w:pPr>
        <w:spacing w:before="0" w:after="0" w:line="240" w:lineRule="auto"/>
      </w:pPr>
      <w:r>
        <w:separator/>
      </w:r>
    </w:p>
  </w:endnote>
  <w:endnote w:type="continuationSeparator" w:id="0">
    <w:p w14:paraId="5F8952B9" w14:textId="77777777" w:rsidR="00344915" w:rsidRDefault="00344915" w:rsidP="00712C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0922" w14:textId="77777777" w:rsidR="00344915" w:rsidRDefault="00344915" w:rsidP="00712CE7">
      <w:pPr>
        <w:spacing w:before="0" w:after="0" w:line="240" w:lineRule="auto"/>
      </w:pPr>
      <w:r>
        <w:separator/>
      </w:r>
    </w:p>
  </w:footnote>
  <w:footnote w:type="continuationSeparator" w:id="0">
    <w:p w14:paraId="67BE6A17" w14:textId="77777777" w:rsidR="00344915" w:rsidRDefault="00344915" w:rsidP="00712C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C442" w14:textId="77777777" w:rsidR="003C1F3B" w:rsidRDefault="006C0361" w:rsidP="00726913">
    <w:pPr>
      <w:pStyle w:val="Header"/>
    </w:pPr>
    <w:r>
      <w:rPr>
        <w:noProof/>
      </w:rPr>
      <w:drawing>
        <wp:inline distT="0" distB="0" distL="0" distR="0" wp14:anchorId="6725AD22" wp14:editId="2B6FE5F1">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inter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195B0BE5" w14:textId="77777777" w:rsidR="006C0361" w:rsidRDefault="006C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43D3D"/>
    <w:multiLevelType w:val="hybridMultilevel"/>
    <w:tmpl w:val="4F283120"/>
    <w:lvl w:ilvl="0" w:tplc="D10EB5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5642B2"/>
    <w:multiLevelType w:val="hybridMultilevel"/>
    <w:tmpl w:val="D67C10AA"/>
    <w:lvl w:ilvl="0" w:tplc="95567264">
      <w:start w:val="1"/>
      <w:numFmt w:val="lowerRoman"/>
      <w:lvlText w:val="%1)"/>
      <w:lvlJc w:val="left"/>
      <w:pPr>
        <w:ind w:left="1080" w:hanging="720"/>
      </w:pPr>
      <w:rPr>
        <w:rFonts w:asciiTheme="minorHAnsi" w:eastAsiaTheme="minorHAnsi" w:hAnsiTheme="minorHAnsi" w:cstheme="minorBidi"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3C4BB9"/>
    <w:multiLevelType w:val="hybridMultilevel"/>
    <w:tmpl w:val="9C60AF6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start w:val="1"/>
      <w:numFmt w:val="bullet"/>
      <w:lvlText w:val=""/>
      <w:lvlJc w:val="left"/>
      <w:pPr>
        <w:ind w:left="2224" w:hanging="360"/>
      </w:pPr>
      <w:rPr>
        <w:rFonts w:ascii="Wingdings" w:hAnsi="Wingdings" w:hint="default"/>
      </w:rPr>
    </w:lvl>
    <w:lvl w:ilvl="3" w:tplc="0C090001">
      <w:start w:val="1"/>
      <w:numFmt w:val="bullet"/>
      <w:lvlText w:val=""/>
      <w:lvlJc w:val="left"/>
      <w:pPr>
        <w:ind w:left="2944" w:hanging="360"/>
      </w:pPr>
      <w:rPr>
        <w:rFonts w:ascii="Symbol" w:hAnsi="Symbol" w:hint="default"/>
      </w:rPr>
    </w:lvl>
    <w:lvl w:ilvl="4" w:tplc="0C090003">
      <w:start w:val="1"/>
      <w:numFmt w:val="bullet"/>
      <w:lvlText w:val="o"/>
      <w:lvlJc w:val="left"/>
      <w:pPr>
        <w:ind w:left="3664" w:hanging="360"/>
      </w:pPr>
      <w:rPr>
        <w:rFonts w:ascii="Courier New" w:hAnsi="Courier New" w:cs="Courier New" w:hint="default"/>
      </w:rPr>
    </w:lvl>
    <w:lvl w:ilvl="5" w:tplc="0C090005">
      <w:start w:val="1"/>
      <w:numFmt w:val="bullet"/>
      <w:lvlText w:val=""/>
      <w:lvlJc w:val="left"/>
      <w:pPr>
        <w:ind w:left="4384" w:hanging="360"/>
      </w:pPr>
      <w:rPr>
        <w:rFonts w:ascii="Wingdings" w:hAnsi="Wingdings" w:hint="default"/>
      </w:rPr>
    </w:lvl>
    <w:lvl w:ilvl="6" w:tplc="0C090001">
      <w:start w:val="1"/>
      <w:numFmt w:val="bullet"/>
      <w:lvlText w:val=""/>
      <w:lvlJc w:val="left"/>
      <w:pPr>
        <w:ind w:left="5104" w:hanging="360"/>
      </w:pPr>
      <w:rPr>
        <w:rFonts w:ascii="Symbol" w:hAnsi="Symbol" w:hint="default"/>
      </w:rPr>
    </w:lvl>
    <w:lvl w:ilvl="7" w:tplc="0C090003">
      <w:start w:val="1"/>
      <w:numFmt w:val="bullet"/>
      <w:lvlText w:val="o"/>
      <w:lvlJc w:val="left"/>
      <w:pPr>
        <w:ind w:left="5824" w:hanging="360"/>
      </w:pPr>
      <w:rPr>
        <w:rFonts w:ascii="Courier New" w:hAnsi="Courier New" w:cs="Courier New" w:hint="default"/>
      </w:rPr>
    </w:lvl>
    <w:lvl w:ilvl="8" w:tplc="0C090005">
      <w:start w:val="1"/>
      <w:numFmt w:val="bullet"/>
      <w:lvlText w:val=""/>
      <w:lvlJc w:val="left"/>
      <w:pPr>
        <w:ind w:left="6544" w:hanging="360"/>
      </w:pPr>
      <w:rPr>
        <w:rFonts w:ascii="Wingdings" w:hAnsi="Wingdings" w:hint="default"/>
      </w:rPr>
    </w:lvl>
  </w:abstractNum>
  <w:abstractNum w:abstractNumId="4" w15:restartNumberingAfterBreak="0">
    <w:nsid w:val="4EC64741"/>
    <w:multiLevelType w:val="hybridMultilevel"/>
    <w:tmpl w:val="42F87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1A3C60"/>
    <w:multiLevelType w:val="multilevel"/>
    <w:tmpl w:val="99ACC594"/>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CFA0734"/>
    <w:multiLevelType w:val="hybridMultilevel"/>
    <w:tmpl w:val="A7B2C482"/>
    <w:lvl w:ilvl="0" w:tplc="82381882">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DE56BF"/>
    <w:multiLevelType w:val="hybridMultilevel"/>
    <w:tmpl w:val="6B8C5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E7"/>
    <w:rsid w:val="000222C0"/>
    <w:rsid w:val="0004690D"/>
    <w:rsid w:val="000603CD"/>
    <w:rsid w:val="000A6799"/>
    <w:rsid w:val="000E36D0"/>
    <w:rsid w:val="000E6794"/>
    <w:rsid w:val="000F26A4"/>
    <w:rsid w:val="00101B30"/>
    <w:rsid w:val="001246BF"/>
    <w:rsid w:val="0018404B"/>
    <w:rsid w:val="001875CF"/>
    <w:rsid w:val="00195F7B"/>
    <w:rsid w:val="001B0C00"/>
    <w:rsid w:val="001B101D"/>
    <w:rsid w:val="001B2A88"/>
    <w:rsid w:val="001C36F1"/>
    <w:rsid w:val="001C726C"/>
    <w:rsid w:val="001D52B8"/>
    <w:rsid w:val="001D66D8"/>
    <w:rsid w:val="002009A5"/>
    <w:rsid w:val="00202206"/>
    <w:rsid w:val="00211E4F"/>
    <w:rsid w:val="00225729"/>
    <w:rsid w:val="00231246"/>
    <w:rsid w:val="002443FB"/>
    <w:rsid w:val="00291F96"/>
    <w:rsid w:val="002F1B23"/>
    <w:rsid w:val="00306723"/>
    <w:rsid w:val="00311062"/>
    <w:rsid w:val="0031288C"/>
    <w:rsid w:val="00323FEA"/>
    <w:rsid w:val="00324D82"/>
    <w:rsid w:val="0033613A"/>
    <w:rsid w:val="00344915"/>
    <w:rsid w:val="00380EC7"/>
    <w:rsid w:val="003A0551"/>
    <w:rsid w:val="003B03FA"/>
    <w:rsid w:val="003B51EE"/>
    <w:rsid w:val="003B7749"/>
    <w:rsid w:val="003C171E"/>
    <w:rsid w:val="003C1F3B"/>
    <w:rsid w:val="003D445D"/>
    <w:rsid w:val="003D7832"/>
    <w:rsid w:val="00423A2D"/>
    <w:rsid w:val="00467C93"/>
    <w:rsid w:val="00467DC3"/>
    <w:rsid w:val="0049078B"/>
    <w:rsid w:val="004A3E71"/>
    <w:rsid w:val="004C007F"/>
    <w:rsid w:val="00503A82"/>
    <w:rsid w:val="00503DD2"/>
    <w:rsid w:val="00505354"/>
    <w:rsid w:val="00543FB2"/>
    <w:rsid w:val="005753D7"/>
    <w:rsid w:val="005A2A4E"/>
    <w:rsid w:val="005B7B29"/>
    <w:rsid w:val="005C3DD1"/>
    <w:rsid w:val="006110A2"/>
    <w:rsid w:val="00625C13"/>
    <w:rsid w:val="006919A0"/>
    <w:rsid w:val="006A4F50"/>
    <w:rsid w:val="006C0361"/>
    <w:rsid w:val="006C6D18"/>
    <w:rsid w:val="006C7958"/>
    <w:rsid w:val="006E2716"/>
    <w:rsid w:val="00710419"/>
    <w:rsid w:val="00712CE7"/>
    <w:rsid w:val="00726913"/>
    <w:rsid w:val="007306D0"/>
    <w:rsid w:val="00733080"/>
    <w:rsid w:val="0074694D"/>
    <w:rsid w:val="00750B5D"/>
    <w:rsid w:val="007511D5"/>
    <w:rsid w:val="00770AF9"/>
    <w:rsid w:val="007B10C2"/>
    <w:rsid w:val="007C41B5"/>
    <w:rsid w:val="00802213"/>
    <w:rsid w:val="0080414B"/>
    <w:rsid w:val="008042AF"/>
    <w:rsid w:val="00805FCB"/>
    <w:rsid w:val="00812455"/>
    <w:rsid w:val="008172FC"/>
    <w:rsid w:val="00823910"/>
    <w:rsid w:val="00834E37"/>
    <w:rsid w:val="00843331"/>
    <w:rsid w:val="008435AC"/>
    <w:rsid w:val="00850D53"/>
    <w:rsid w:val="00876F8D"/>
    <w:rsid w:val="0087739B"/>
    <w:rsid w:val="00893B61"/>
    <w:rsid w:val="00894115"/>
    <w:rsid w:val="008A28F4"/>
    <w:rsid w:val="008A6DB5"/>
    <w:rsid w:val="008C3C84"/>
    <w:rsid w:val="008D22D2"/>
    <w:rsid w:val="00911618"/>
    <w:rsid w:val="009117DE"/>
    <w:rsid w:val="00915236"/>
    <w:rsid w:val="00934543"/>
    <w:rsid w:val="00936703"/>
    <w:rsid w:val="00940575"/>
    <w:rsid w:val="009A4D02"/>
    <w:rsid w:val="009D13F1"/>
    <w:rsid w:val="009D28F7"/>
    <w:rsid w:val="009E703D"/>
    <w:rsid w:val="00A160C1"/>
    <w:rsid w:val="00A17BEC"/>
    <w:rsid w:val="00AF6C4E"/>
    <w:rsid w:val="00B202E3"/>
    <w:rsid w:val="00B33271"/>
    <w:rsid w:val="00BB03F2"/>
    <w:rsid w:val="00BB541A"/>
    <w:rsid w:val="00BC4D62"/>
    <w:rsid w:val="00BC5F48"/>
    <w:rsid w:val="00BD18DA"/>
    <w:rsid w:val="00BE3F96"/>
    <w:rsid w:val="00BE5A1A"/>
    <w:rsid w:val="00BF2CB5"/>
    <w:rsid w:val="00BF7B03"/>
    <w:rsid w:val="00C0283D"/>
    <w:rsid w:val="00C04502"/>
    <w:rsid w:val="00C30CD3"/>
    <w:rsid w:val="00CC3E33"/>
    <w:rsid w:val="00CE3D17"/>
    <w:rsid w:val="00D02354"/>
    <w:rsid w:val="00D16DD6"/>
    <w:rsid w:val="00D446EE"/>
    <w:rsid w:val="00D5041E"/>
    <w:rsid w:val="00D711F3"/>
    <w:rsid w:val="00D7209C"/>
    <w:rsid w:val="00DA6761"/>
    <w:rsid w:val="00DB4FE9"/>
    <w:rsid w:val="00DF7727"/>
    <w:rsid w:val="00E05F1A"/>
    <w:rsid w:val="00E13501"/>
    <w:rsid w:val="00E21920"/>
    <w:rsid w:val="00E36290"/>
    <w:rsid w:val="00E46F6C"/>
    <w:rsid w:val="00E84F70"/>
    <w:rsid w:val="00ED5659"/>
    <w:rsid w:val="00EF6D81"/>
    <w:rsid w:val="00F00CDA"/>
    <w:rsid w:val="00F13690"/>
    <w:rsid w:val="00F60931"/>
    <w:rsid w:val="00F847F5"/>
    <w:rsid w:val="00FA0BA2"/>
    <w:rsid w:val="00FB71FF"/>
    <w:rsid w:val="00FD273D"/>
    <w:rsid w:val="00FE2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EE50"/>
  <w15:docId w15:val="{E2905C85-3C73-42D2-B6F2-803C51D9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E7"/>
    <w:pPr>
      <w:spacing w:before="120" w:after="120" w:line="264" w:lineRule="auto"/>
    </w:pPr>
    <w:rPr>
      <w:rFonts w:ascii="Segoe UI" w:eastAsia="MS Mincho" w:hAnsi="Segoe U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C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12CE7"/>
    <w:rPr>
      <w:rFonts w:ascii="Segoe UI" w:eastAsia="MS Mincho" w:hAnsi="Segoe UI" w:cs="Times New Roman"/>
      <w:lang w:eastAsia="en-AU"/>
    </w:rPr>
  </w:style>
  <w:style w:type="paragraph" w:styleId="Footer">
    <w:name w:val="footer"/>
    <w:basedOn w:val="Normal"/>
    <w:link w:val="FooterChar"/>
    <w:uiPriority w:val="99"/>
    <w:unhideWhenUsed/>
    <w:rsid w:val="00712C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12CE7"/>
    <w:rPr>
      <w:rFonts w:ascii="Segoe UI" w:eastAsia="MS Mincho" w:hAnsi="Segoe UI" w:cs="Times New Roman"/>
      <w:lang w:eastAsia="en-AU"/>
    </w:rPr>
  </w:style>
  <w:style w:type="paragraph" w:styleId="BalloonText">
    <w:name w:val="Balloon Text"/>
    <w:basedOn w:val="Normal"/>
    <w:link w:val="BalloonTextChar"/>
    <w:uiPriority w:val="99"/>
    <w:semiHidden/>
    <w:unhideWhenUsed/>
    <w:rsid w:val="003C1F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3B"/>
    <w:rPr>
      <w:rFonts w:ascii="Tahoma" w:eastAsia="MS Mincho" w:hAnsi="Tahoma" w:cs="Tahoma"/>
      <w:sz w:val="16"/>
      <w:szCs w:val="16"/>
      <w:lang w:eastAsia="en-AU"/>
    </w:rPr>
  </w:style>
  <w:style w:type="paragraph" w:customStyle="1" w:styleId="Numbering">
    <w:name w:val="Numbering"/>
    <w:basedOn w:val="Normal"/>
    <w:link w:val="NumberingCharChar"/>
    <w:rsid w:val="0018404B"/>
    <w:pPr>
      <w:numPr>
        <w:numId w:val="1"/>
      </w:numPr>
      <w:spacing w:before="0" w:after="240" w:line="240" w:lineRule="auto"/>
      <w:jc w:val="both"/>
    </w:pPr>
    <w:rPr>
      <w:rFonts w:eastAsia="Times New Roman"/>
      <w:sz w:val="20"/>
    </w:rPr>
  </w:style>
  <w:style w:type="character" w:customStyle="1" w:styleId="NumberingCharChar">
    <w:name w:val="Numbering Char Char"/>
    <w:link w:val="Numbering"/>
    <w:rsid w:val="0018404B"/>
    <w:rPr>
      <w:rFonts w:ascii="Segoe UI" w:eastAsia="Times New Roman" w:hAnsi="Segoe UI" w:cs="Times New Roman"/>
      <w:sz w:val="20"/>
      <w:lang w:eastAsia="en-AU"/>
    </w:rPr>
  </w:style>
  <w:style w:type="character" w:styleId="PlaceholderText">
    <w:name w:val="Placeholder Text"/>
    <w:basedOn w:val="DefaultParagraphFont"/>
    <w:uiPriority w:val="99"/>
    <w:semiHidden/>
    <w:rsid w:val="00BD18DA"/>
    <w:rPr>
      <w:color w:val="808080"/>
    </w:rPr>
  </w:style>
  <w:style w:type="table" w:styleId="TableGrid">
    <w:name w:val="Table Grid"/>
    <w:basedOn w:val="TableNormal"/>
    <w:uiPriority w:val="59"/>
    <w:rsid w:val="00A160C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A4E"/>
    <w:pPr>
      <w:ind w:left="720"/>
      <w:contextualSpacing/>
    </w:pPr>
  </w:style>
  <w:style w:type="paragraph" w:styleId="Caption">
    <w:name w:val="caption"/>
    <w:basedOn w:val="Normal"/>
    <w:next w:val="Normal"/>
    <w:uiPriority w:val="35"/>
    <w:unhideWhenUsed/>
    <w:qFormat/>
    <w:rsid w:val="00843331"/>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7080">
      <w:bodyDiv w:val="1"/>
      <w:marLeft w:val="0"/>
      <w:marRight w:val="0"/>
      <w:marTop w:val="0"/>
      <w:marBottom w:val="0"/>
      <w:divBdr>
        <w:top w:val="none" w:sz="0" w:space="0" w:color="auto"/>
        <w:left w:val="none" w:sz="0" w:space="0" w:color="auto"/>
        <w:bottom w:val="none" w:sz="0" w:space="0" w:color="auto"/>
        <w:right w:val="none" w:sz="0" w:space="0" w:color="auto"/>
      </w:divBdr>
    </w:div>
    <w:div w:id="808673830">
      <w:bodyDiv w:val="1"/>
      <w:marLeft w:val="0"/>
      <w:marRight w:val="0"/>
      <w:marTop w:val="0"/>
      <w:marBottom w:val="0"/>
      <w:divBdr>
        <w:top w:val="none" w:sz="0" w:space="0" w:color="auto"/>
        <w:left w:val="none" w:sz="0" w:space="0" w:color="auto"/>
        <w:bottom w:val="none" w:sz="0" w:space="0" w:color="auto"/>
        <w:right w:val="none" w:sz="0" w:space="0" w:color="auto"/>
      </w:divBdr>
    </w:div>
    <w:div w:id="945384098">
      <w:bodyDiv w:val="1"/>
      <w:marLeft w:val="0"/>
      <w:marRight w:val="0"/>
      <w:marTop w:val="0"/>
      <w:marBottom w:val="0"/>
      <w:divBdr>
        <w:top w:val="none" w:sz="0" w:space="0" w:color="auto"/>
        <w:left w:val="none" w:sz="0" w:space="0" w:color="auto"/>
        <w:bottom w:val="none" w:sz="0" w:space="0" w:color="auto"/>
        <w:right w:val="none" w:sz="0" w:space="0" w:color="auto"/>
      </w:divBdr>
    </w:div>
    <w:div w:id="1251084278">
      <w:bodyDiv w:val="1"/>
      <w:marLeft w:val="0"/>
      <w:marRight w:val="0"/>
      <w:marTop w:val="0"/>
      <w:marBottom w:val="0"/>
      <w:divBdr>
        <w:top w:val="none" w:sz="0" w:space="0" w:color="auto"/>
        <w:left w:val="none" w:sz="0" w:space="0" w:color="auto"/>
        <w:bottom w:val="none" w:sz="0" w:space="0" w:color="auto"/>
        <w:right w:val="none" w:sz="0" w:space="0" w:color="auto"/>
      </w:divBdr>
    </w:div>
    <w:div w:id="13764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on.nsw.gov.au/view/html/inforce/current/act-2007-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92F8-7684-4FC9-9816-94977DC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1187</Words>
  <Characters>6509</Characters>
  <Application>Microsoft Office Word</Application>
  <DocSecurity>0</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Mewing, Jenny</dc:creator>
  <cp:lastModifiedBy>Chelle Leith</cp:lastModifiedBy>
  <cp:revision>52</cp:revision>
  <dcterms:created xsi:type="dcterms:W3CDTF">2022-05-25T02:43:00Z</dcterms:created>
  <dcterms:modified xsi:type="dcterms:W3CDTF">2022-08-09T00:56:00Z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